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5B777">
      <w:pPr>
        <w:keepNext w:val="0"/>
        <w:keepLines w:val="0"/>
        <w:pageBreakBefore w:val="0"/>
        <w:widowControl w:val="0"/>
        <w:kinsoku/>
        <w:wordWrap/>
        <w:overflowPunct/>
        <w:topLinePunct w:val="0"/>
        <w:autoSpaceDE/>
        <w:autoSpaceDN/>
        <w:bidi w:val="0"/>
        <w:adjustRightInd/>
        <w:spacing w:line="600" w:lineRule="exact"/>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w:t>
      </w:r>
    </w:p>
    <w:p w14:paraId="0F850B95">
      <w:pPr>
        <w:pStyle w:val="2"/>
        <w:rPr>
          <w:rFonts w:hint="eastAsia"/>
          <w:lang w:val="en-US" w:eastAsia="zh-CN"/>
        </w:rPr>
      </w:pPr>
    </w:p>
    <w:p w14:paraId="46B2F1D7">
      <w:pPr>
        <w:pStyle w:val="7"/>
        <w:keepNext w:val="0"/>
        <w:keepLines w:val="0"/>
        <w:pageBreakBefore w:val="0"/>
        <w:widowControl w:val="0"/>
        <w:numPr>
          <w:ilvl w:val="0"/>
          <w:numId w:val="0"/>
        </w:numPr>
        <w:kinsoku/>
        <w:wordWrap/>
        <w:overflowPunct/>
        <w:topLinePunct w:val="0"/>
        <w:autoSpaceDE/>
        <w:autoSpaceDN/>
        <w:bidi w:val="0"/>
        <w:adjustRightInd/>
        <w:spacing w:line="600" w:lineRule="exact"/>
        <w:jc w:val="center"/>
        <w:textAlignment w:val="auto"/>
        <w:rPr>
          <w:rFonts w:hint="eastAsia" w:ascii="方正小标宋简体" w:hAnsi="方正小标宋简体" w:eastAsia="方正小标宋简体" w:cs="方正小标宋简体"/>
          <w:sz w:val="44"/>
          <w:szCs w:val="44"/>
          <w:lang w:bidi="ar"/>
        </w:rPr>
      </w:pPr>
      <w:r>
        <w:rPr>
          <w:rFonts w:hint="eastAsia" w:ascii="方正小标宋简体" w:hAnsi="方正小标宋简体" w:eastAsia="方正小标宋简体" w:cs="方正小标宋简体"/>
          <w:sz w:val="44"/>
          <w:szCs w:val="44"/>
          <w:lang w:val="en-US" w:eastAsia="zh-CN" w:bidi="ar"/>
        </w:rPr>
        <w:t>饭堂食材</w:t>
      </w:r>
      <w:r>
        <w:rPr>
          <w:rFonts w:hint="eastAsia" w:ascii="方正小标宋简体" w:hAnsi="方正小标宋简体" w:eastAsia="方正小标宋简体" w:cs="方正小标宋简体"/>
          <w:sz w:val="44"/>
          <w:szCs w:val="44"/>
          <w:lang w:bidi="ar"/>
        </w:rPr>
        <w:t>配送服务项目</w:t>
      </w:r>
    </w:p>
    <w:p w14:paraId="0EB0761C">
      <w:pPr>
        <w:pStyle w:val="7"/>
        <w:keepNext w:val="0"/>
        <w:keepLines w:val="0"/>
        <w:pageBreakBefore w:val="0"/>
        <w:widowControl w:val="0"/>
        <w:numPr>
          <w:ilvl w:val="0"/>
          <w:numId w:val="0"/>
        </w:numPr>
        <w:kinsoku/>
        <w:wordWrap/>
        <w:overflowPunct/>
        <w:topLinePunct w:val="0"/>
        <w:autoSpaceDE/>
        <w:autoSpaceDN/>
        <w:bidi w:val="0"/>
        <w:adjustRightInd/>
        <w:spacing w:line="600" w:lineRule="exact"/>
        <w:ind w:leftChars="0" w:firstLine="640" w:firstLineChars="200"/>
        <w:jc w:val="left"/>
        <w:textAlignment w:val="auto"/>
        <w:rPr>
          <w:rFonts w:hint="eastAsia" w:ascii="黑体" w:hAnsi="黑体" w:eastAsia="黑体" w:cs="黑体"/>
          <w:b w:val="0"/>
          <w:bCs/>
          <w:sz w:val="32"/>
          <w:szCs w:val="32"/>
          <w:lang w:val="en-US" w:eastAsia="zh-CN"/>
        </w:rPr>
      </w:pPr>
    </w:p>
    <w:p w14:paraId="3069025F">
      <w:pPr>
        <w:pStyle w:val="7"/>
        <w:keepNext w:val="0"/>
        <w:keepLines w:val="0"/>
        <w:pageBreakBefore w:val="0"/>
        <w:widowControl w:val="0"/>
        <w:numPr>
          <w:ilvl w:val="0"/>
          <w:numId w:val="0"/>
        </w:numPr>
        <w:kinsoku/>
        <w:wordWrap/>
        <w:overflowPunct/>
        <w:topLinePunct w:val="0"/>
        <w:autoSpaceDE/>
        <w:autoSpaceDN/>
        <w:bidi w:val="0"/>
        <w:adjustRightInd/>
        <w:spacing w:line="600" w:lineRule="exact"/>
        <w:ind w:leftChars="0"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一、</w:t>
      </w:r>
      <w:r>
        <w:rPr>
          <w:rFonts w:hint="eastAsia" w:ascii="黑体" w:hAnsi="黑体" w:eastAsia="黑体" w:cs="黑体"/>
          <w:b w:val="0"/>
          <w:bCs/>
          <w:sz w:val="32"/>
          <w:szCs w:val="32"/>
        </w:rPr>
        <w:t>项目概况</w:t>
      </w:r>
    </w:p>
    <w:p w14:paraId="7DCC2562">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楷体_GB2312" w:hAnsi="楷体_GB2312" w:eastAsia="楷体_GB2312" w:cs="楷体_GB2312"/>
          <w:b/>
          <w:bCs w:val="0"/>
          <w:color w:val="auto"/>
          <w:sz w:val="32"/>
          <w:szCs w:val="32"/>
          <w:lang w:val="en-US"/>
        </w:rPr>
      </w:pPr>
      <w:r>
        <w:rPr>
          <w:rFonts w:hint="eastAsia" w:ascii="楷体_GB2312" w:hAnsi="楷体_GB2312" w:eastAsia="楷体_GB2312" w:cs="楷体_GB2312"/>
          <w:b/>
          <w:bCs w:val="0"/>
          <w:color w:val="auto"/>
          <w:sz w:val="32"/>
          <w:szCs w:val="32"/>
          <w:lang w:eastAsia="zh-CN"/>
        </w:rPr>
        <w:t>（</w:t>
      </w:r>
      <w:r>
        <w:rPr>
          <w:rFonts w:hint="eastAsia" w:ascii="楷体_GB2312" w:hAnsi="楷体_GB2312" w:eastAsia="楷体_GB2312" w:cs="楷体_GB2312"/>
          <w:b/>
          <w:bCs w:val="0"/>
          <w:color w:val="auto"/>
          <w:sz w:val="32"/>
          <w:szCs w:val="32"/>
          <w:lang w:val="en-US" w:eastAsia="zh-CN"/>
        </w:rPr>
        <w:t>一</w:t>
      </w:r>
      <w:r>
        <w:rPr>
          <w:rFonts w:hint="eastAsia" w:ascii="楷体_GB2312" w:hAnsi="楷体_GB2312" w:eastAsia="楷体_GB2312" w:cs="楷体_GB2312"/>
          <w:b/>
          <w:bCs w:val="0"/>
          <w:color w:val="auto"/>
          <w:sz w:val="32"/>
          <w:szCs w:val="32"/>
          <w:lang w:eastAsia="zh-CN"/>
        </w:rPr>
        <w:t>）</w:t>
      </w:r>
      <w:r>
        <w:rPr>
          <w:rFonts w:hint="eastAsia" w:ascii="楷体_GB2312" w:hAnsi="楷体_GB2312" w:eastAsia="楷体_GB2312" w:cs="楷体_GB2312"/>
          <w:b/>
          <w:bCs w:val="0"/>
          <w:color w:val="auto"/>
          <w:sz w:val="32"/>
          <w:szCs w:val="32"/>
          <w:lang w:val="en-US" w:eastAsia="zh-CN"/>
        </w:rPr>
        <w:t>项目</w:t>
      </w:r>
    </w:p>
    <w:p w14:paraId="23FE2EDD">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Times New Roman" w:eastAsia="仿宋_GB2312" w:cs="仿宋_GB2312"/>
          <w:sz w:val="32"/>
          <w:szCs w:val="32"/>
          <w:lang w:eastAsia="zh-CN" w:bidi="ar"/>
        </w:rPr>
      </w:pPr>
      <w:r>
        <w:rPr>
          <w:rFonts w:hint="eastAsia" w:ascii="仿宋_GB2312" w:eastAsia="仿宋_GB2312" w:cs="仿宋_GB2312"/>
          <w:sz w:val="32"/>
          <w:szCs w:val="32"/>
          <w:lang w:val="en-US" w:eastAsia="zh-CN" w:bidi="ar"/>
        </w:rPr>
        <w:t>饭堂食材</w:t>
      </w:r>
      <w:r>
        <w:rPr>
          <w:rFonts w:hint="eastAsia" w:ascii="仿宋_GB2312" w:hAnsi="Times New Roman" w:eastAsia="仿宋_GB2312" w:cs="仿宋_GB2312"/>
          <w:sz w:val="32"/>
          <w:szCs w:val="32"/>
          <w:lang w:bidi="ar"/>
        </w:rPr>
        <w:t>配送服务项目</w:t>
      </w:r>
    </w:p>
    <w:p w14:paraId="4D3388C1">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本项</w:t>
      </w:r>
      <w:r>
        <w:rPr>
          <w:rFonts w:hint="eastAsia" w:ascii="仿宋_GB2312" w:hAnsi="仿宋_GB2312" w:eastAsia="仿宋_GB2312" w:cs="仿宋_GB2312"/>
          <w:color w:val="auto"/>
          <w:sz w:val="32"/>
          <w:szCs w:val="32"/>
        </w:rPr>
        <w:t>目所需食材按采购人需求分期分批供应。具体品种和数量由采购人根据实际情况确定。采购预算总金额为</w:t>
      </w:r>
      <w:r>
        <w:rPr>
          <w:rFonts w:hint="eastAsia" w:ascii="仿宋_GB2312" w:hAnsi="仿宋_GB2312" w:eastAsia="仿宋_GB2312" w:cs="仿宋_GB2312"/>
          <w:color w:val="auto"/>
          <w:sz w:val="32"/>
          <w:szCs w:val="32"/>
          <w:u w:val="single"/>
          <w:lang w:val="en-US" w:eastAsia="zh-CN"/>
        </w:rPr>
        <w:t>600</w:t>
      </w:r>
      <w:r>
        <w:rPr>
          <w:rFonts w:hint="eastAsia" w:ascii="仿宋_GB2312" w:hAnsi="仿宋_GB2312" w:eastAsia="仿宋_GB2312" w:cs="仿宋_GB2312"/>
          <w:color w:val="auto"/>
          <w:sz w:val="32"/>
          <w:szCs w:val="32"/>
        </w:rPr>
        <w:t>万元/年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为最高限价，以实际采购金额为准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，货物供应期为</w:t>
      </w:r>
      <w:r>
        <w:rPr>
          <w:rFonts w:hint="eastAsia" w:ascii="仿宋_GB2312" w:hAnsi="仿宋_GB2312" w:eastAsia="仿宋_GB2312" w:cs="仿宋_GB2312"/>
          <w:color w:val="auto"/>
          <w:sz w:val="32"/>
          <w:szCs w:val="32"/>
          <w:u w:val="single"/>
        </w:rPr>
        <w:t>1</w:t>
      </w:r>
      <w:r>
        <w:rPr>
          <w:rFonts w:hint="eastAsia" w:ascii="仿宋_GB2312" w:hAnsi="仿宋_GB2312" w:eastAsia="仿宋_GB2312" w:cs="仿宋_GB2312"/>
          <w:color w:val="auto"/>
          <w:sz w:val="32"/>
          <w:szCs w:val="32"/>
        </w:rPr>
        <w:t>年（</w:t>
      </w:r>
      <w:r>
        <w:rPr>
          <w:rFonts w:hint="eastAsia" w:ascii="仿宋_GB2312" w:hAnsi="Times New Roman" w:eastAsia="仿宋_GB2312" w:cs="仿宋_GB2312"/>
          <w:sz w:val="32"/>
          <w:szCs w:val="32"/>
          <w:lang w:bidi="ar"/>
        </w:rPr>
        <w:t>采购期限自20</w:t>
      </w:r>
      <w:r>
        <w:rPr>
          <w:rFonts w:hint="eastAsia" w:ascii="仿宋_GB2312" w:hAnsi="Times New Roman" w:eastAsia="仿宋_GB2312" w:cs="仿宋_GB2312"/>
          <w:sz w:val="32"/>
          <w:szCs w:val="32"/>
          <w:lang w:val="en-US" w:eastAsia="zh-CN" w:bidi="ar"/>
        </w:rPr>
        <w:t>2</w:t>
      </w:r>
      <w:r>
        <w:rPr>
          <w:rFonts w:hint="eastAsia" w:ascii="仿宋_GB2312" w:eastAsia="仿宋_GB2312" w:cs="仿宋_GB2312"/>
          <w:sz w:val="32"/>
          <w:szCs w:val="32"/>
          <w:lang w:val="en-US" w:eastAsia="zh-CN" w:bidi="ar"/>
        </w:rPr>
        <w:t>7</w:t>
      </w:r>
      <w:r>
        <w:rPr>
          <w:rFonts w:hint="eastAsia" w:ascii="仿宋_GB2312" w:hAnsi="Times New Roman" w:eastAsia="仿宋_GB2312" w:cs="仿宋_GB2312"/>
          <w:sz w:val="32"/>
          <w:szCs w:val="32"/>
          <w:lang w:bidi="ar"/>
        </w:rPr>
        <w:t>年</w:t>
      </w:r>
      <w:r>
        <w:rPr>
          <w:rFonts w:hint="eastAsia" w:ascii="仿宋_GB2312" w:eastAsia="仿宋_GB2312" w:cs="仿宋_GB2312"/>
          <w:sz w:val="32"/>
          <w:szCs w:val="32"/>
          <w:lang w:val="en-US" w:eastAsia="zh-CN" w:bidi="ar"/>
        </w:rPr>
        <w:t>1</w:t>
      </w:r>
      <w:r>
        <w:rPr>
          <w:rFonts w:hint="eastAsia" w:ascii="仿宋_GB2312" w:hAnsi="Times New Roman" w:eastAsia="仿宋_GB2312" w:cs="仿宋_GB2312"/>
          <w:sz w:val="32"/>
          <w:szCs w:val="32"/>
          <w:lang w:bidi="ar"/>
        </w:rPr>
        <w:t>月1日</w:t>
      </w:r>
      <w:r>
        <w:rPr>
          <w:rFonts w:hint="eastAsia" w:ascii="仿宋_GB2312" w:hAnsi="Times New Roman" w:eastAsia="仿宋_GB2312" w:cs="仿宋_GB2312"/>
          <w:sz w:val="32"/>
          <w:szCs w:val="32"/>
          <w:lang w:eastAsia="zh-CN" w:bidi="ar"/>
        </w:rPr>
        <w:t>起</w:t>
      </w:r>
      <w:r>
        <w:rPr>
          <w:rFonts w:hint="eastAsia" w:ascii="仿宋_GB2312" w:hAnsi="Times New Roman" w:eastAsia="仿宋_GB2312" w:cs="仿宋_GB2312"/>
          <w:sz w:val="32"/>
          <w:szCs w:val="32"/>
          <w:lang w:bidi="ar"/>
        </w:rPr>
        <w:t>至202</w:t>
      </w:r>
      <w:r>
        <w:rPr>
          <w:rFonts w:hint="eastAsia" w:ascii="仿宋_GB2312" w:eastAsia="仿宋_GB2312" w:cs="仿宋_GB2312"/>
          <w:sz w:val="32"/>
          <w:szCs w:val="32"/>
          <w:lang w:val="en-US" w:eastAsia="zh-CN" w:bidi="ar"/>
        </w:rPr>
        <w:t>7</w:t>
      </w:r>
      <w:r>
        <w:rPr>
          <w:rFonts w:hint="eastAsia" w:ascii="仿宋_GB2312" w:hAnsi="Times New Roman" w:eastAsia="仿宋_GB2312" w:cs="仿宋_GB2312"/>
          <w:sz w:val="32"/>
          <w:szCs w:val="32"/>
          <w:lang w:bidi="ar"/>
        </w:rPr>
        <w:t>年</w:t>
      </w:r>
      <w:r>
        <w:rPr>
          <w:rFonts w:hint="eastAsia" w:ascii="仿宋_GB2312" w:eastAsia="仿宋_GB2312" w:cs="仿宋_GB2312"/>
          <w:sz w:val="32"/>
          <w:szCs w:val="32"/>
          <w:lang w:val="en-US" w:eastAsia="zh-CN" w:bidi="ar"/>
        </w:rPr>
        <w:t>12</w:t>
      </w:r>
      <w:r>
        <w:rPr>
          <w:rFonts w:hint="eastAsia" w:ascii="仿宋_GB2312" w:hAnsi="Times New Roman" w:eastAsia="仿宋_GB2312" w:cs="仿宋_GB2312"/>
          <w:sz w:val="32"/>
          <w:szCs w:val="32"/>
          <w:lang w:bidi="ar"/>
        </w:rPr>
        <w:t>月</w:t>
      </w:r>
      <w:r>
        <w:rPr>
          <w:rFonts w:hint="eastAsia" w:ascii="仿宋_GB2312" w:eastAsia="仿宋_GB2312" w:cs="仿宋_GB2312"/>
          <w:sz w:val="32"/>
          <w:szCs w:val="32"/>
          <w:lang w:val="en-US" w:eastAsia="zh-CN" w:bidi="ar"/>
        </w:rPr>
        <w:t>31</w:t>
      </w:r>
      <w:r>
        <w:rPr>
          <w:rFonts w:hint="eastAsia" w:ascii="仿宋_GB2312" w:hAnsi="Times New Roman" w:eastAsia="仿宋_GB2312" w:cs="仿宋_GB2312"/>
          <w:sz w:val="32"/>
          <w:szCs w:val="32"/>
          <w:lang w:bidi="ar"/>
        </w:rPr>
        <w:t>日</w:t>
      </w:r>
      <w:r>
        <w:rPr>
          <w:rFonts w:hint="eastAsia" w:ascii="仿宋_GB2312" w:hAnsi="Times New Roman" w:eastAsia="仿宋_GB2312" w:cs="仿宋_GB2312"/>
          <w:sz w:val="32"/>
          <w:szCs w:val="32"/>
          <w:lang w:eastAsia="zh-CN" w:bidi="ar"/>
        </w:rPr>
        <w:t>止</w:t>
      </w:r>
      <w:r>
        <w:rPr>
          <w:rFonts w:hint="eastAsia" w:ascii="仿宋_GB2312" w:hAnsi="仿宋_GB2312" w:eastAsia="仿宋_GB2312" w:cs="仿宋_GB2312"/>
          <w:color w:val="auto"/>
          <w:sz w:val="32"/>
          <w:szCs w:val="32"/>
        </w:rPr>
        <w:t>）。</w:t>
      </w:r>
    </w:p>
    <w:p w14:paraId="66E0DFF1">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楷体_GB2312" w:hAnsi="楷体_GB2312" w:eastAsia="楷体_GB2312" w:cs="楷体_GB2312"/>
          <w:b/>
          <w:bCs w:val="0"/>
          <w:color w:val="auto"/>
          <w:sz w:val="32"/>
          <w:szCs w:val="32"/>
          <w:lang w:val="en-US" w:eastAsia="zh-CN"/>
        </w:rPr>
      </w:pPr>
      <w:r>
        <w:rPr>
          <w:rFonts w:hint="eastAsia" w:ascii="楷体_GB2312" w:hAnsi="楷体_GB2312" w:eastAsia="楷体_GB2312" w:cs="楷体_GB2312"/>
          <w:b/>
          <w:bCs w:val="0"/>
          <w:color w:val="auto"/>
          <w:sz w:val="32"/>
          <w:szCs w:val="32"/>
          <w:lang w:val="en-US" w:eastAsia="zh-CN"/>
        </w:rPr>
        <w:t>（三）配送地点</w:t>
      </w:r>
    </w:p>
    <w:p w14:paraId="56882E50">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采购人指定地点</w:t>
      </w:r>
      <w:r>
        <w:rPr>
          <w:rFonts w:hint="eastAsia" w:ascii="仿宋_GB2312" w:hAnsi="仿宋_GB2312" w:eastAsia="仿宋_GB2312" w:cs="仿宋_GB2312"/>
          <w:color w:val="auto"/>
          <w:sz w:val="32"/>
          <w:szCs w:val="32"/>
          <w:lang w:eastAsia="zh-CN"/>
        </w:rPr>
        <w:t>。</w:t>
      </w:r>
    </w:p>
    <w:p w14:paraId="153CE6B4">
      <w:pPr>
        <w:pStyle w:val="7"/>
        <w:keepNext w:val="0"/>
        <w:keepLines w:val="0"/>
        <w:pageBreakBefore w:val="0"/>
        <w:widowControl w:val="0"/>
        <w:numPr>
          <w:ilvl w:val="0"/>
          <w:numId w:val="0"/>
        </w:numPr>
        <w:kinsoku/>
        <w:wordWrap/>
        <w:overflowPunct/>
        <w:topLinePunct w:val="0"/>
        <w:autoSpaceDE/>
        <w:autoSpaceDN/>
        <w:bidi w:val="0"/>
        <w:adjustRightInd/>
        <w:spacing w:line="600" w:lineRule="exact"/>
        <w:ind w:leftChars="0" w:firstLine="640" w:firstLineChars="200"/>
        <w:jc w:val="left"/>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CN"/>
        </w:rPr>
        <w:t>二、</w:t>
      </w:r>
      <w:r>
        <w:rPr>
          <w:rFonts w:hint="eastAsia" w:ascii="黑体" w:hAnsi="黑体" w:eastAsia="黑体" w:cs="黑体"/>
          <w:b w:val="0"/>
          <w:bCs/>
          <w:color w:val="auto"/>
          <w:sz w:val="32"/>
          <w:szCs w:val="32"/>
        </w:rPr>
        <w:t>供货品种及质量要求</w:t>
      </w:r>
    </w:p>
    <w:p w14:paraId="676AF2E4">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楷体_GB2312" w:hAnsi="楷体_GB2312" w:eastAsia="楷体_GB2312" w:cs="楷体_GB2312"/>
          <w:b/>
          <w:bCs w:val="0"/>
          <w:color w:val="auto"/>
          <w:sz w:val="32"/>
          <w:szCs w:val="32"/>
        </w:rPr>
      </w:pPr>
      <w:r>
        <w:rPr>
          <w:rFonts w:hint="eastAsia" w:ascii="楷体_GB2312" w:hAnsi="楷体_GB2312" w:eastAsia="楷体_GB2312" w:cs="楷体_GB2312"/>
          <w:b/>
          <w:bCs w:val="0"/>
          <w:color w:val="auto"/>
          <w:sz w:val="32"/>
          <w:szCs w:val="32"/>
        </w:rPr>
        <w:t>（一）供货品种</w:t>
      </w:r>
    </w:p>
    <w:p w14:paraId="2A051A61">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楷体_GB2312" w:hAnsi="楷体_GB2312" w:eastAsia="楷体_GB2312" w:cs="楷体_GB2312"/>
          <w:b/>
          <w:bCs w:val="0"/>
          <w:color w:val="auto"/>
          <w:sz w:val="32"/>
          <w:szCs w:val="32"/>
        </w:rPr>
      </w:pPr>
      <w:r>
        <w:rPr>
          <w:rFonts w:hint="eastAsia" w:ascii="仿宋_GB2312" w:hAnsi="仿宋_GB2312" w:eastAsia="仿宋_GB2312" w:cs="仿宋_GB2312"/>
          <w:color w:val="auto"/>
          <w:sz w:val="32"/>
          <w:szCs w:val="32"/>
        </w:rPr>
        <w:t>饭堂食材需求品种包括但不限于蔬菜、瓜果、蛋类、冻品、菌类、豆制品、奶制品、肉类、水产、禽类</w:t>
      </w:r>
      <w:r>
        <w:rPr>
          <w:rFonts w:hint="eastAsia" w:ascii="仿宋_GB2312" w:hAnsi="仿宋_GB2312" w:eastAsia="仿宋_GB2312" w:cs="仿宋_GB2312"/>
          <w:color w:val="auto"/>
          <w:sz w:val="32"/>
          <w:szCs w:val="32"/>
          <w:highlight w:val="none"/>
        </w:rPr>
        <w:t>、畜肉类、饮</w:t>
      </w:r>
      <w:r>
        <w:rPr>
          <w:rFonts w:hint="eastAsia" w:ascii="仿宋_GB2312" w:hAnsi="仿宋_GB2312" w:eastAsia="仿宋_GB2312" w:cs="仿宋_GB2312"/>
          <w:color w:val="auto"/>
          <w:sz w:val="32"/>
          <w:szCs w:val="32"/>
        </w:rPr>
        <w:t>料类、干货、调料</w:t>
      </w:r>
      <w:r>
        <w:rPr>
          <w:rFonts w:hint="eastAsia" w:ascii="仿宋_GB2312" w:hAnsi="仿宋_GB2312" w:eastAsia="仿宋_GB2312" w:cs="仿宋_GB2312"/>
          <w:color w:val="auto"/>
          <w:sz w:val="32"/>
          <w:szCs w:val="32"/>
          <w:lang w:eastAsia="zh-CN"/>
        </w:rPr>
        <w:t>、扶贫农产品、</w:t>
      </w:r>
      <w:r>
        <w:rPr>
          <w:rFonts w:hint="eastAsia" w:ascii="仿宋_GB2312" w:hAnsi="仿宋_GB2312" w:eastAsia="仿宋_GB2312" w:cs="仿宋_GB2312"/>
          <w:color w:val="auto"/>
          <w:sz w:val="32"/>
          <w:szCs w:val="32"/>
        </w:rPr>
        <w:t>其他类（如糖果、罐头、茶叶等）。</w:t>
      </w:r>
    </w:p>
    <w:p w14:paraId="671632F5">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楷体_GB2312" w:hAnsi="楷体_GB2312" w:eastAsia="楷体_GB2312" w:cs="楷体_GB2312"/>
          <w:b/>
          <w:bCs w:val="0"/>
          <w:color w:val="auto"/>
          <w:sz w:val="32"/>
          <w:szCs w:val="32"/>
        </w:rPr>
      </w:pPr>
      <w:r>
        <w:rPr>
          <w:rFonts w:hint="eastAsia" w:ascii="楷体_GB2312" w:hAnsi="楷体_GB2312" w:eastAsia="楷体_GB2312" w:cs="楷体_GB2312"/>
          <w:b/>
          <w:bCs w:val="0"/>
          <w:color w:val="auto"/>
          <w:sz w:val="32"/>
          <w:szCs w:val="32"/>
        </w:rPr>
        <w:t>（二）货物总体质量要求</w:t>
      </w:r>
    </w:p>
    <w:p w14:paraId="5A345A8F">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所提供的副食品必须符合国家食品卫生标准。每天所送食材均须全部过检（非抽检），检测单随货同行。</w:t>
      </w:r>
    </w:p>
    <w:p w14:paraId="35A676C5">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（1）蔬菜、瓜果类产品应加工整理，保持良好的色泽和新鲜度，农药残留不得超标，（每天都要附上蔬菜、瓜果类等农产品检测单），不得有腐烂、泥沙、黄叶等，蔬菜利用率达95%以上。</w:t>
      </w:r>
    </w:p>
    <w:p w14:paraId="6FD54A5B">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（2）鲜肉、禽肉类全部来源于国家认可的正规肉联厂，保证每日新鲜，无注水，无异味。</w:t>
      </w:r>
    </w:p>
    <w:p w14:paraId="7C9EF3BD">
      <w:pPr>
        <w:keepNext w:val="0"/>
        <w:keepLines w:val="0"/>
        <w:pageBreakBefore w:val="0"/>
        <w:widowControl w:val="0"/>
        <w:tabs>
          <w:tab w:val="left" w:pos="63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（3）海鲜、河鲜产品必须鲜活。</w:t>
      </w:r>
    </w:p>
    <w:p w14:paraId="11CE0F6B">
      <w:pPr>
        <w:keepNext w:val="0"/>
        <w:keepLines w:val="0"/>
        <w:pageBreakBefore w:val="0"/>
        <w:widowControl w:val="0"/>
        <w:tabs>
          <w:tab w:val="left" w:pos="63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（4）豆制品由正规厂家加工，保证新鲜，不含色素、有毒有害添加剂等。</w:t>
      </w:r>
    </w:p>
    <w:p w14:paraId="66DF2BD5">
      <w:pPr>
        <w:keepNext w:val="0"/>
        <w:keepLines w:val="0"/>
        <w:pageBreakBefore w:val="0"/>
        <w:widowControl w:val="0"/>
        <w:tabs>
          <w:tab w:val="left" w:pos="63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（5）副食调料类均由大型正规厂家供应，相关证明齐全。</w:t>
      </w:r>
    </w:p>
    <w:p w14:paraId="00D1ED91">
      <w:pPr>
        <w:keepNext w:val="0"/>
        <w:keepLines w:val="0"/>
        <w:pageBreakBefore w:val="0"/>
        <w:widowControl w:val="0"/>
        <w:tabs>
          <w:tab w:val="left" w:pos="63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（6）其他副食品须符合国家安全和食品卫生标准，正规厂家供应，相关证明齐全。</w:t>
      </w:r>
    </w:p>
    <w:p w14:paraId="3E09F7B0">
      <w:pPr>
        <w:keepNext w:val="0"/>
        <w:keepLines w:val="0"/>
        <w:pageBreakBefore w:val="0"/>
        <w:widowControl w:val="0"/>
        <w:tabs>
          <w:tab w:val="left" w:pos="63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货物包装应完好无破漏，可视的内容物无腐败霉变或影响使用的</w:t>
      </w:r>
      <w:r>
        <w:rPr>
          <w:rFonts w:hint="eastAsia" w:ascii="仿宋_GB2312" w:hAnsi="仿宋_GB2312" w:eastAsia="仿宋_GB2312" w:cs="仿宋_GB2312"/>
          <w:color w:val="auto"/>
          <w:sz w:val="32"/>
          <w:szCs w:val="32"/>
          <w:lang w:eastAsia="zh-CN"/>
        </w:rPr>
        <w:t>变形</w:t>
      </w:r>
      <w:r>
        <w:rPr>
          <w:rFonts w:hint="eastAsia" w:ascii="仿宋_GB2312" w:hAnsi="仿宋_GB2312" w:eastAsia="仿宋_GB2312" w:cs="仿宋_GB2312"/>
          <w:color w:val="auto"/>
          <w:sz w:val="32"/>
          <w:szCs w:val="32"/>
        </w:rPr>
        <w:t>，不存在危及人身、财产安全的不合理危险。</w:t>
      </w:r>
    </w:p>
    <w:p w14:paraId="4F0D4433">
      <w:pPr>
        <w:keepNext w:val="0"/>
        <w:keepLines w:val="0"/>
        <w:pageBreakBefore w:val="0"/>
        <w:widowControl w:val="0"/>
        <w:tabs>
          <w:tab w:val="left" w:pos="63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货物应当具备其应当具备的使用性能，应当符合国家或行业标准。</w:t>
      </w:r>
    </w:p>
    <w:p w14:paraId="56BF668F">
      <w:pPr>
        <w:keepNext w:val="0"/>
        <w:keepLines w:val="0"/>
        <w:pageBreakBefore w:val="0"/>
        <w:widowControl w:val="0"/>
        <w:tabs>
          <w:tab w:val="left" w:pos="63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食品包装标签应符合《食品安全国家标准预包装食品标签通则》（GB 7718）要求，包括食品名称、配料表、净含量、规格、生产者（或）经销者的名称、地址和联系方式、生产日期和保质期、贮存条件、食品生产许可证编号、产品标准代号等内容。</w:t>
      </w:r>
    </w:p>
    <w:p w14:paraId="696B8A83">
      <w:pPr>
        <w:keepNext w:val="0"/>
        <w:keepLines w:val="0"/>
        <w:pageBreakBefore w:val="0"/>
        <w:widowControl w:val="0"/>
        <w:tabs>
          <w:tab w:val="left" w:pos="63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有保质期限的商品剩余保存期不得少于原有保质期的三分之二。</w:t>
      </w:r>
    </w:p>
    <w:p w14:paraId="4BA45195">
      <w:pPr>
        <w:pStyle w:val="7"/>
        <w:keepNext w:val="0"/>
        <w:keepLines w:val="0"/>
        <w:pageBreakBefore w:val="0"/>
        <w:widowControl w:val="0"/>
        <w:numPr>
          <w:ilvl w:val="0"/>
          <w:numId w:val="0"/>
        </w:numPr>
        <w:kinsoku/>
        <w:wordWrap/>
        <w:overflowPunct/>
        <w:topLinePunct w:val="0"/>
        <w:autoSpaceDE/>
        <w:autoSpaceDN/>
        <w:bidi w:val="0"/>
        <w:adjustRightInd/>
        <w:spacing w:line="600" w:lineRule="exact"/>
        <w:ind w:leftChars="0" w:firstLine="640" w:firstLineChars="200"/>
        <w:jc w:val="left"/>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CN"/>
        </w:rPr>
        <w:t>三、</w:t>
      </w:r>
      <w:r>
        <w:rPr>
          <w:rFonts w:hint="eastAsia" w:ascii="黑体" w:hAnsi="黑体" w:eastAsia="黑体" w:cs="黑体"/>
          <w:b w:val="0"/>
          <w:bCs/>
          <w:color w:val="auto"/>
          <w:sz w:val="32"/>
          <w:szCs w:val="32"/>
        </w:rPr>
        <w:t>投标报价要求</w:t>
      </w:r>
    </w:p>
    <w:p w14:paraId="04833DE9">
      <w:pPr>
        <w:keepNext w:val="0"/>
        <w:keepLines w:val="0"/>
        <w:pageBreakBefore w:val="0"/>
        <w:widowControl w:val="0"/>
        <w:tabs>
          <w:tab w:val="left" w:pos="63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投标报价包含产品价格、运输、装卸、售后服务、保险、搬运费、税金等一切费用。</w:t>
      </w:r>
    </w:p>
    <w:p w14:paraId="54184312">
      <w:pPr>
        <w:keepNext w:val="0"/>
        <w:keepLines w:val="0"/>
        <w:pageBreakBefore w:val="0"/>
        <w:widowControl w:val="0"/>
        <w:tabs>
          <w:tab w:val="left" w:pos="63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本项目采取</w:t>
      </w:r>
      <w:bookmarkStart w:id="0" w:name="_GoBack"/>
      <w:r>
        <w:rPr>
          <w:rFonts w:hint="eastAsia" w:ascii="仿宋_GB2312" w:hAnsi="仿宋_GB2312" w:eastAsia="仿宋_GB2312" w:cs="仿宋_GB2312"/>
          <w:b w:val="0"/>
          <w:bCs w:val="0"/>
          <w:color w:val="auto"/>
          <w:sz w:val="32"/>
          <w:szCs w:val="32"/>
        </w:rPr>
        <w:t>投标下浮率的方</w:t>
      </w:r>
      <w:r>
        <w:rPr>
          <w:rFonts w:hint="eastAsia" w:ascii="仿宋_GB2312" w:hAnsi="仿宋_GB2312" w:eastAsia="仿宋_GB2312" w:cs="仿宋_GB2312"/>
          <w:color w:val="auto"/>
          <w:sz w:val="32"/>
          <w:szCs w:val="32"/>
        </w:rPr>
        <w:t>式进行报价</w:t>
      </w:r>
      <w:bookmarkEnd w:id="0"/>
      <w:r>
        <w:rPr>
          <w:rFonts w:hint="eastAsia" w:ascii="仿宋_GB2312" w:hAnsi="仿宋_GB2312" w:eastAsia="仿宋_GB2312" w:cs="仿宋_GB2312"/>
          <w:color w:val="auto"/>
          <w:sz w:val="32"/>
          <w:szCs w:val="32"/>
        </w:rPr>
        <w:t>。本项目食材以采购人所在地附近周边市场随机抽取三家或以上同类货品</w:t>
      </w:r>
      <w:r>
        <w:rPr>
          <w:rFonts w:hint="eastAsia" w:ascii="仿宋_GB2312" w:hAnsi="仿宋_GB2312" w:eastAsia="仿宋_GB2312" w:cs="仿宋_GB2312"/>
          <w:color w:val="auto"/>
          <w:sz w:val="32"/>
          <w:szCs w:val="32"/>
          <w:lang w:val="en-US" w:eastAsia="zh-CN"/>
        </w:rPr>
        <w:t>零售价</w:t>
      </w:r>
      <w:r>
        <w:rPr>
          <w:rFonts w:hint="eastAsia" w:ascii="仿宋_GB2312" w:hAnsi="仿宋_GB2312" w:eastAsia="仿宋_GB2312" w:cs="仿宋_GB2312"/>
          <w:color w:val="auto"/>
          <w:sz w:val="32"/>
          <w:szCs w:val="32"/>
        </w:rPr>
        <w:t>的平均价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基准价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，在此基础上由各投标人进行下浮率报价，投标下浮率报价范围：</w:t>
      </w:r>
      <w:r>
        <w:rPr>
          <w:rFonts w:hint="eastAsia" w:ascii="仿宋_GB2312" w:hAnsi="仿宋_GB2312" w:eastAsia="仿宋_GB2312" w:cs="仿宋_GB2312"/>
          <w:b/>
          <w:bCs/>
          <w:color w:val="auto"/>
          <w:sz w:val="32"/>
          <w:szCs w:val="32"/>
        </w:rPr>
        <w:t>0%≤投标下浮率＜100%</w:t>
      </w:r>
      <w:r>
        <w:rPr>
          <w:rFonts w:hint="eastAsia" w:ascii="仿宋_GB2312" w:hAnsi="仿宋_GB2312" w:eastAsia="仿宋_GB2312" w:cs="仿宋_GB2312"/>
          <w:color w:val="auto"/>
          <w:sz w:val="32"/>
          <w:szCs w:val="32"/>
        </w:rPr>
        <w:t>。</w:t>
      </w:r>
    </w:p>
    <w:p w14:paraId="7238DA3C">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各种类货物结算总金额＝各种类货物基准价×（1-投标下浮率）×各种类货物实际供货数量(按实际发生量结算)。</w:t>
      </w:r>
      <w:r>
        <w:rPr>
          <w:rFonts w:hint="eastAsia" w:ascii="仿宋_GB2312" w:hAnsi="仿宋_GB2312" w:eastAsia="仿宋_GB2312" w:cs="仿宋_GB2312"/>
          <w:color w:val="auto"/>
          <w:sz w:val="32"/>
          <w:szCs w:val="32"/>
          <w:lang w:val="en-US" w:eastAsia="zh-CN"/>
        </w:rPr>
        <w:t>中标人</w:t>
      </w:r>
      <w:r>
        <w:rPr>
          <w:rFonts w:hint="eastAsia" w:ascii="仿宋_GB2312" w:hAnsi="仿宋_GB2312" w:eastAsia="仿宋_GB2312" w:cs="仿宋_GB2312"/>
          <w:color w:val="auto"/>
          <w:sz w:val="32"/>
          <w:szCs w:val="32"/>
        </w:rPr>
        <w:t>须每半个月向采购人提供一次货物食品价目表，货物价格不得高于市场平均指导价格。</w:t>
      </w:r>
    </w:p>
    <w:p w14:paraId="7F2B1F1F">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采购人不定期抽查罗定市区中、大型超市及市场对各种肉类及副食材、食用油、大米、蔬菜类询价，以询价 3 至4 家的询价结果计算出平均价格作为各种肉类及副食材、食用油、大米、蔬菜类、日杂商品的市场平均单价。</w:t>
      </w:r>
    </w:p>
    <w:p w14:paraId="3AF01F4F">
      <w:pPr>
        <w:pStyle w:val="7"/>
        <w:keepNext w:val="0"/>
        <w:keepLines w:val="0"/>
        <w:pageBreakBefore w:val="0"/>
        <w:widowControl w:val="0"/>
        <w:numPr>
          <w:ilvl w:val="0"/>
          <w:numId w:val="0"/>
        </w:numPr>
        <w:kinsoku/>
        <w:wordWrap/>
        <w:overflowPunct/>
        <w:topLinePunct w:val="0"/>
        <w:autoSpaceDE/>
        <w:autoSpaceDN/>
        <w:bidi w:val="0"/>
        <w:adjustRightInd/>
        <w:spacing w:line="600" w:lineRule="exact"/>
        <w:ind w:leftChars="0" w:firstLine="640" w:firstLineChars="200"/>
        <w:jc w:val="left"/>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CN"/>
        </w:rPr>
        <w:t>四、</w:t>
      </w:r>
      <w:r>
        <w:rPr>
          <w:rFonts w:hint="eastAsia" w:ascii="黑体" w:hAnsi="黑体" w:eastAsia="黑体" w:cs="黑体"/>
          <w:b w:val="0"/>
          <w:bCs/>
          <w:color w:val="auto"/>
          <w:sz w:val="32"/>
          <w:szCs w:val="32"/>
        </w:rPr>
        <w:t>交货、配送及结算要求</w:t>
      </w:r>
    </w:p>
    <w:p w14:paraId="0A0208A3">
      <w:pPr>
        <w:keepNext w:val="0"/>
        <w:keepLines w:val="0"/>
        <w:pageBreakBefore w:val="0"/>
        <w:widowControl w:val="0"/>
        <w:kinsoku/>
        <w:wordWrap/>
        <w:overflowPunct/>
        <w:topLinePunct w:val="0"/>
        <w:autoSpaceDE/>
        <w:autoSpaceDN/>
        <w:bidi w:val="0"/>
        <w:adjustRightInd/>
        <w:snapToGrid w:val="0"/>
        <w:spacing w:line="600" w:lineRule="exact"/>
        <w:ind w:firstLine="48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w:t>
      </w:r>
      <w:r>
        <w:rPr>
          <w:rFonts w:hint="eastAsia" w:ascii="楷体_GB2312" w:hAnsi="楷体_GB2312" w:eastAsia="楷体_GB2312" w:cs="楷体_GB2312"/>
          <w:b/>
          <w:color w:val="auto"/>
          <w:sz w:val="32"/>
          <w:szCs w:val="32"/>
        </w:rPr>
        <w:t>一）配送范围</w:t>
      </w:r>
    </w:p>
    <w:p w14:paraId="524C7565">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b/>
          <w:color w:val="auto"/>
          <w:sz w:val="32"/>
          <w:szCs w:val="32"/>
          <w:u w:val="single"/>
        </w:rPr>
      </w:pPr>
      <w:r>
        <w:rPr>
          <w:rFonts w:hint="eastAsia" w:ascii="仿宋_GB2312" w:hAnsi="仿宋_GB2312" w:eastAsia="仿宋_GB2312" w:cs="仿宋_GB2312"/>
          <w:color w:val="auto"/>
          <w:sz w:val="32"/>
          <w:szCs w:val="32"/>
        </w:rPr>
        <w:t>中标人应根据采购人订单，对所订食材品种进行分单位、分品种、按计划重量打包分框组织分发，分菜验菜场由采购人指定。未包含在范围内的食材，按市场价执行。</w:t>
      </w:r>
    </w:p>
    <w:p w14:paraId="52502EAB">
      <w:pPr>
        <w:keepNext w:val="0"/>
        <w:keepLines w:val="0"/>
        <w:pageBreakBefore w:val="0"/>
        <w:widowControl w:val="0"/>
        <w:tabs>
          <w:tab w:val="left" w:pos="0"/>
          <w:tab w:val="left" w:pos="630"/>
        </w:tabs>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w:t>
      </w:r>
      <w:r>
        <w:rPr>
          <w:rFonts w:hint="eastAsia" w:ascii="楷体_GB2312" w:hAnsi="楷体_GB2312" w:eastAsia="楷体_GB2312" w:cs="楷体_GB2312"/>
          <w:b/>
          <w:bCs w:val="0"/>
          <w:color w:val="auto"/>
          <w:sz w:val="32"/>
          <w:szCs w:val="32"/>
        </w:rPr>
        <w:t>二）交货时间</w:t>
      </w:r>
    </w:p>
    <w:p w14:paraId="2076DF82">
      <w:pPr>
        <w:keepNext w:val="0"/>
        <w:keepLines w:val="0"/>
        <w:pageBreakBefore w:val="0"/>
        <w:widowControl w:val="0"/>
        <w:tabs>
          <w:tab w:val="left" w:pos="0"/>
          <w:tab w:val="left" w:pos="63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采购人为中标人提供所需食材的品种和数量，提前1天将食材采购计划单给中标人。若发生计划不准或不及时的现象，中标人有义务主动提醒采购人纠正。中标人于每日上午7时00分前送到采购人指定地点（如遇特殊情况：恶劣天气、车辆故障交通事故等，应及时告知采购人，并妥善处理确保采购人物资的正常供应），并负责交货时的装卸载，中标人不得以任何理由推迟或不送。 </w:t>
      </w:r>
    </w:p>
    <w:p w14:paraId="01A9984D">
      <w:pPr>
        <w:keepNext w:val="0"/>
        <w:keepLines w:val="0"/>
        <w:pageBreakBefore w:val="0"/>
        <w:widowControl w:val="0"/>
        <w:tabs>
          <w:tab w:val="left" w:pos="0"/>
          <w:tab w:val="left" w:pos="63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中标人根据采购人的电话通知（双方均要做好记录）或书面订货单订购品种、数量。货物运送到采购人指定地点后，由采购人验收人员验收并做记录。</w:t>
      </w:r>
      <w:r>
        <w:rPr>
          <w:rFonts w:hint="eastAsia" w:ascii="仿宋_GB2312" w:hAnsi="仿宋_GB2312" w:eastAsia="仿宋_GB2312" w:cs="仿宋_GB2312"/>
          <w:color w:val="auto"/>
          <w:spacing w:val="-5"/>
          <w:sz w:val="32"/>
          <w:szCs w:val="32"/>
        </w:rPr>
        <w:t>如果采购人因执行任务等特殊原因临时改变订购的货物种类、规格、数量等，中标人须在接到通知后的2小时内将货物送达，待采购人验收、核对后，供货才算完成。</w:t>
      </w:r>
    </w:p>
    <w:p w14:paraId="438E4E2A">
      <w:pPr>
        <w:keepNext w:val="0"/>
        <w:keepLines w:val="0"/>
        <w:pageBreakBefore w:val="0"/>
        <w:widowControl w:val="0"/>
        <w:tabs>
          <w:tab w:val="left" w:pos="0"/>
          <w:tab w:val="left" w:pos="630"/>
        </w:tabs>
        <w:kinsoku/>
        <w:wordWrap/>
        <w:overflowPunct/>
        <w:topLinePunct w:val="0"/>
        <w:autoSpaceDE/>
        <w:autoSpaceDN/>
        <w:bidi w:val="0"/>
        <w:adjustRightInd/>
        <w:spacing w:line="600" w:lineRule="exact"/>
        <w:ind w:firstLine="643" w:firstLineChars="200"/>
        <w:textAlignment w:val="auto"/>
        <w:rPr>
          <w:rFonts w:hint="eastAsia" w:ascii="楷体_GB2312" w:hAnsi="楷体_GB2312" w:eastAsia="楷体_GB2312" w:cs="楷体_GB2312"/>
          <w:b/>
          <w:color w:val="auto"/>
          <w:sz w:val="32"/>
          <w:szCs w:val="32"/>
        </w:rPr>
      </w:pPr>
      <w:r>
        <w:rPr>
          <w:rFonts w:hint="eastAsia" w:ascii="楷体_GB2312" w:hAnsi="楷体_GB2312" w:eastAsia="楷体_GB2312" w:cs="楷体_GB2312"/>
          <w:b/>
          <w:color w:val="auto"/>
          <w:sz w:val="32"/>
          <w:szCs w:val="32"/>
        </w:rPr>
        <w:t>（三）交货地点</w:t>
      </w:r>
    </w:p>
    <w:p w14:paraId="630A084F">
      <w:pPr>
        <w:keepNext w:val="0"/>
        <w:keepLines w:val="0"/>
        <w:pageBreakBefore w:val="0"/>
        <w:widowControl w:val="0"/>
        <w:tabs>
          <w:tab w:val="left" w:pos="0"/>
          <w:tab w:val="left" w:pos="63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采购人指定地点。</w:t>
      </w:r>
    </w:p>
    <w:p w14:paraId="19776090">
      <w:pPr>
        <w:keepNext w:val="0"/>
        <w:keepLines w:val="0"/>
        <w:pageBreakBefore w:val="0"/>
        <w:widowControl w:val="0"/>
        <w:tabs>
          <w:tab w:val="left" w:pos="0"/>
          <w:tab w:val="left" w:pos="630"/>
        </w:tabs>
        <w:kinsoku/>
        <w:wordWrap/>
        <w:overflowPunct/>
        <w:topLinePunct w:val="0"/>
        <w:autoSpaceDE/>
        <w:autoSpaceDN/>
        <w:bidi w:val="0"/>
        <w:adjustRightInd/>
        <w:spacing w:line="600" w:lineRule="exact"/>
        <w:ind w:firstLine="643" w:firstLineChars="200"/>
        <w:textAlignment w:val="auto"/>
        <w:rPr>
          <w:rFonts w:hint="eastAsia" w:ascii="楷体_GB2312" w:hAnsi="楷体_GB2312" w:eastAsia="楷体_GB2312" w:cs="楷体_GB2312"/>
          <w:b/>
          <w:color w:val="auto"/>
          <w:sz w:val="32"/>
          <w:szCs w:val="32"/>
        </w:rPr>
      </w:pPr>
      <w:r>
        <w:rPr>
          <w:rFonts w:hint="eastAsia" w:ascii="楷体_GB2312" w:hAnsi="楷体_GB2312" w:eastAsia="楷体_GB2312" w:cs="楷体_GB2312"/>
          <w:b/>
          <w:color w:val="auto"/>
          <w:sz w:val="32"/>
          <w:szCs w:val="32"/>
        </w:rPr>
        <w:t>（四）配送要求</w:t>
      </w:r>
    </w:p>
    <w:p w14:paraId="67DC20F3">
      <w:pPr>
        <w:keepNext w:val="0"/>
        <w:keepLines w:val="0"/>
        <w:pageBreakBefore w:val="0"/>
        <w:widowControl w:val="0"/>
        <w:tabs>
          <w:tab w:val="left" w:pos="0"/>
          <w:tab w:val="left" w:pos="63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所提供的物品运输应由中标人负责，不得外包，必须采用符合卫生标准的外包装和运载工具，并且要保持清洁和定期消毒。运输车厢的内仓，包括地面、墙面和顶，应使用抗腐蚀、防潮，易清洁消毒的材料。车厢内无不良气味、异味。</w:t>
      </w:r>
    </w:p>
    <w:p w14:paraId="6B3498D3">
      <w:pPr>
        <w:keepNext w:val="0"/>
        <w:keepLines w:val="0"/>
        <w:pageBreakBefore w:val="0"/>
        <w:widowControl w:val="0"/>
        <w:tabs>
          <w:tab w:val="left" w:pos="0"/>
          <w:tab w:val="left" w:pos="63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中标人须指定具有丰富经验的固定的配送负责人与采购人对接，并征得采购人认可，负责每天的供货安排。中标人签订合同时须将配送负责人的相关证明材料向采购人报备，合同期间如临时需要更换，须提前报采购人同意后才能更换。</w:t>
      </w:r>
    </w:p>
    <w:p w14:paraId="3E2563C9">
      <w:pPr>
        <w:keepNext w:val="0"/>
        <w:keepLines w:val="0"/>
        <w:pageBreakBefore w:val="0"/>
        <w:widowControl w:val="0"/>
        <w:tabs>
          <w:tab w:val="left" w:pos="0"/>
          <w:tab w:val="left" w:pos="630"/>
        </w:tabs>
        <w:kinsoku/>
        <w:wordWrap/>
        <w:overflowPunct/>
        <w:topLinePunct w:val="0"/>
        <w:autoSpaceDE/>
        <w:autoSpaceDN/>
        <w:bidi w:val="0"/>
        <w:adjustRightInd/>
        <w:spacing w:line="600" w:lineRule="exact"/>
        <w:ind w:firstLine="643" w:firstLineChars="200"/>
        <w:textAlignment w:val="auto"/>
        <w:rPr>
          <w:rFonts w:hint="eastAsia" w:ascii="楷体_GB2312" w:hAnsi="楷体_GB2312" w:eastAsia="楷体_GB2312" w:cs="楷体_GB2312"/>
          <w:b/>
          <w:color w:val="auto"/>
          <w:sz w:val="32"/>
          <w:szCs w:val="32"/>
        </w:rPr>
      </w:pPr>
      <w:r>
        <w:rPr>
          <w:rFonts w:hint="eastAsia" w:ascii="楷体_GB2312" w:hAnsi="楷体_GB2312" w:eastAsia="楷体_GB2312" w:cs="楷体_GB2312"/>
          <w:b/>
          <w:color w:val="auto"/>
          <w:sz w:val="32"/>
          <w:szCs w:val="32"/>
        </w:rPr>
        <w:t>（五）结算方式</w:t>
      </w:r>
    </w:p>
    <w:p w14:paraId="330F9016">
      <w:pPr>
        <w:keepNext w:val="0"/>
        <w:keepLines w:val="0"/>
        <w:pageBreakBefore w:val="0"/>
        <w:widowControl w:val="0"/>
        <w:tabs>
          <w:tab w:val="left" w:pos="0"/>
          <w:tab w:val="left" w:pos="63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结算期限</w:t>
      </w:r>
    </w:p>
    <w:p w14:paraId="2F78602E">
      <w:pPr>
        <w:keepNext w:val="0"/>
        <w:keepLines w:val="0"/>
        <w:pageBreakBefore w:val="0"/>
        <w:widowControl w:val="0"/>
        <w:tabs>
          <w:tab w:val="left" w:pos="0"/>
          <w:tab w:val="left" w:pos="63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食材款每月结算一次，每月结束后</w:t>
      </w:r>
      <w:r>
        <w:rPr>
          <w:rFonts w:hint="eastAsia" w:ascii="仿宋_GB2312" w:hAnsi="仿宋_GB2312" w:eastAsia="仿宋_GB2312" w:cs="仿宋_GB2312"/>
          <w:color w:val="auto"/>
          <w:sz w:val="32"/>
          <w:szCs w:val="32"/>
          <w:shd w:val="clear" w:color="auto" w:fill="auto"/>
          <w:lang w:val="en-US" w:eastAsia="zh-CN"/>
        </w:rPr>
        <w:t>30</w:t>
      </w:r>
      <w:r>
        <w:rPr>
          <w:rFonts w:hint="eastAsia" w:ascii="仿宋_GB2312" w:hAnsi="仿宋_GB2312" w:eastAsia="仿宋_GB2312" w:cs="仿宋_GB2312"/>
          <w:color w:val="auto"/>
          <w:sz w:val="32"/>
          <w:szCs w:val="32"/>
        </w:rPr>
        <w:t>个工作日内结清货款。</w:t>
      </w:r>
    </w:p>
    <w:p w14:paraId="05C44429">
      <w:pPr>
        <w:keepNext w:val="0"/>
        <w:keepLines w:val="0"/>
        <w:pageBreakBefore w:val="0"/>
        <w:widowControl w:val="0"/>
        <w:tabs>
          <w:tab w:val="left" w:pos="0"/>
          <w:tab w:val="left" w:pos="63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结算依据</w:t>
      </w:r>
    </w:p>
    <w:p w14:paraId="661198C8">
      <w:pPr>
        <w:keepNext w:val="0"/>
        <w:keepLines w:val="0"/>
        <w:pageBreakBefore w:val="0"/>
        <w:widowControl w:val="0"/>
        <w:tabs>
          <w:tab w:val="left" w:pos="0"/>
          <w:tab w:val="left" w:pos="63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中标人配送的食材每日由采购人验收人员验收全部合格，并核对当月票据，经双方核对清楚准确无误，并由双方签字盖章确认后，作为结算依据。</w:t>
      </w:r>
    </w:p>
    <w:p w14:paraId="06FF8E0F">
      <w:pPr>
        <w:keepNext w:val="0"/>
        <w:keepLines w:val="0"/>
        <w:pageBreakBefore w:val="0"/>
        <w:widowControl w:val="0"/>
        <w:tabs>
          <w:tab w:val="left" w:pos="0"/>
          <w:tab w:val="left" w:pos="63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付款方式</w:t>
      </w:r>
    </w:p>
    <w:p w14:paraId="00751FB9">
      <w:pPr>
        <w:keepNext w:val="0"/>
        <w:keepLines w:val="0"/>
        <w:pageBreakBefore w:val="0"/>
        <w:widowControl w:val="0"/>
        <w:tabs>
          <w:tab w:val="left" w:pos="0"/>
          <w:tab w:val="left" w:pos="63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color w:val="auto"/>
          <w:sz w:val="32"/>
          <w:szCs w:val="32"/>
        </w:rPr>
        <w:t>中标人应向采购人提供本公司指定的对公银行账户，由采购人采取</w:t>
      </w:r>
      <w:r>
        <w:rPr>
          <w:rFonts w:hint="eastAsia" w:ascii="仿宋_GB2312" w:hAnsi="仿宋_GB2312" w:eastAsia="仿宋_GB2312" w:cs="仿宋_GB2312"/>
          <w:color w:val="auto"/>
          <w:sz w:val="32"/>
          <w:szCs w:val="32"/>
          <w:lang w:eastAsia="zh-CN"/>
        </w:rPr>
        <w:t>转账</w:t>
      </w:r>
      <w:r>
        <w:rPr>
          <w:rFonts w:hint="eastAsia" w:ascii="仿宋_GB2312" w:hAnsi="仿宋_GB2312" w:eastAsia="仿宋_GB2312" w:cs="仿宋_GB2312"/>
          <w:color w:val="auto"/>
          <w:sz w:val="32"/>
          <w:szCs w:val="32"/>
        </w:rPr>
        <w:t>形式，每月结算一次，拒付现金，若中标人账户更改，应及时书面通知采购人并附相关证明文件。</w:t>
      </w:r>
    </w:p>
    <w:p w14:paraId="015306E7">
      <w:pPr>
        <w:keepNext w:val="0"/>
        <w:keepLines w:val="0"/>
        <w:pageBreakBefore w:val="0"/>
        <w:widowControl w:val="0"/>
        <w:numPr>
          <w:ilvl w:val="0"/>
          <w:numId w:val="0"/>
        </w:numPr>
        <w:tabs>
          <w:tab w:val="left" w:pos="0"/>
          <w:tab w:val="left" w:pos="63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每次按合同支付款项前，中标人应向采购人提供与支付金额相符的有效发票，且收款方、出具发票方、合同乙方均必须与中标人名称一致。</w:t>
      </w:r>
    </w:p>
    <w:p w14:paraId="46CB4AAF">
      <w:pPr>
        <w:pStyle w:val="7"/>
        <w:keepNext w:val="0"/>
        <w:keepLines w:val="0"/>
        <w:pageBreakBefore w:val="0"/>
        <w:widowControl w:val="0"/>
        <w:numPr>
          <w:ilvl w:val="0"/>
          <w:numId w:val="0"/>
        </w:numPr>
        <w:kinsoku/>
        <w:wordWrap/>
        <w:overflowPunct/>
        <w:topLinePunct w:val="0"/>
        <w:autoSpaceDE/>
        <w:autoSpaceDN/>
        <w:bidi w:val="0"/>
        <w:adjustRightInd/>
        <w:spacing w:line="600" w:lineRule="exact"/>
        <w:ind w:leftChars="0" w:firstLine="640" w:firstLineChars="200"/>
        <w:jc w:val="left"/>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CN"/>
        </w:rPr>
        <w:t>五、</w:t>
      </w:r>
      <w:r>
        <w:rPr>
          <w:rFonts w:hint="eastAsia" w:ascii="黑体" w:hAnsi="黑体" w:eastAsia="黑体" w:cs="黑体"/>
          <w:b w:val="0"/>
          <w:bCs/>
          <w:color w:val="auto"/>
          <w:sz w:val="32"/>
          <w:szCs w:val="32"/>
        </w:rPr>
        <w:t>验收要求</w:t>
      </w:r>
    </w:p>
    <w:p w14:paraId="6E0D47B1">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做好</w:t>
      </w:r>
      <w:r>
        <w:rPr>
          <w:rFonts w:hint="eastAsia" w:ascii="仿宋_GB2312" w:hAnsi="仿宋_GB2312" w:eastAsia="仿宋_GB2312" w:cs="仿宋_GB2312"/>
          <w:bCs/>
          <w:color w:val="auto"/>
          <w:sz w:val="32"/>
          <w:szCs w:val="32"/>
        </w:rPr>
        <w:t>卸货</w:t>
      </w:r>
      <w:r>
        <w:rPr>
          <w:rFonts w:hint="eastAsia" w:ascii="仿宋_GB2312" w:hAnsi="仿宋_GB2312" w:eastAsia="仿宋_GB2312" w:cs="仿宋_GB2312"/>
          <w:color w:val="auto"/>
          <w:sz w:val="32"/>
          <w:szCs w:val="32"/>
        </w:rPr>
        <w:t>前的检查。双方验收人员卸货前应对场地和验收设备做好准备，并对物品的外观质量进行初步了解。食品运输必须采用符合卫生标准的外包装和运输工具，保持清洁和定期消毒，车厢内无不良气味、异味。食品应清洁，无损伤、腐烂现象，外包装完整，无寄生虫或已受虫害现象。</w:t>
      </w:r>
    </w:p>
    <w:p w14:paraId="57C91805">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采取现场验收的方式，双方验收人员应认真检查物资的质量，按索票——验证——抽查——计数——入库的程序完成验收，中标人可提供原件</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val="en-US" w:eastAsia="zh-CN"/>
        </w:rPr>
        <w:t>采购人</w:t>
      </w:r>
      <w:r>
        <w:rPr>
          <w:rFonts w:hint="eastAsia" w:ascii="仿宋_GB2312" w:hAnsi="仿宋_GB2312" w:eastAsia="仿宋_GB2312" w:cs="仿宋_GB2312"/>
          <w:color w:val="auto"/>
          <w:sz w:val="32"/>
          <w:szCs w:val="32"/>
          <w:highlight w:val="none"/>
        </w:rPr>
        <w:t>留原件，原件只有一份而无法提供给采购人的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查验原件后，索取复印件留存。</w:t>
      </w:r>
    </w:p>
    <w:p w14:paraId="25FB3DB6">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每批次每种货物均抽查验收。</w:t>
      </w:r>
    </w:p>
    <w:p w14:paraId="7EB51264">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验收人员应按招标文件产品质量要求对货物质量进行验收，对照相关文件，以确保货物品种符合要求。如确定有所差异，应即刻通知送货人员。如发现物品有损坏的情况，应在相关单</w:t>
      </w:r>
      <w:r>
        <w:rPr>
          <w:rFonts w:hint="eastAsia" w:ascii="仿宋_GB2312" w:hAnsi="仿宋_GB2312" w:eastAsia="仿宋_GB2312" w:cs="仿宋_GB2312"/>
          <w:sz w:val="32"/>
          <w:szCs w:val="32"/>
          <w:highlight w:val="none"/>
        </w:rPr>
        <w:t>据上记录所有损坏情况。建议对物品损坏情况进行拍照并存档。对于物品验收的全部信息数据，采购人使用单位验收人员应和中标人送货人员一起确认，并保留双方签字单据。</w:t>
      </w:r>
    </w:p>
    <w:p w14:paraId="7287E0C7">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抽查发现物品质量问题的处理</w:t>
      </w:r>
    </w:p>
    <w:p w14:paraId="0B4FA4C0">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（1）如出现过期、变质等不符合卫生和质量标准的产品，一经发现，</w:t>
      </w:r>
      <w:r>
        <w:rPr>
          <w:rFonts w:hint="eastAsia" w:ascii="仿宋_GB2312" w:hAnsi="仿宋_GB2312" w:eastAsia="仿宋_GB2312" w:cs="仿宋_GB2312"/>
          <w:color w:val="FF0000"/>
          <w:sz w:val="32"/>
          <w:szCs w:val="32"/>
          <w:highlight w:val="none"/>
          <w:lang w:val="en-US" w:eastAsia="zh-CN"/>
        </w:rPr>
        <w:t>中标人须</w:t>
      </w:r>
      <w:r>
        <w:rPr>
          <w:rFonts w:hint="eastAsia" w:ascii="仿宋_GB2312" w:hAnsi="仿宋_GB2312" w:eastAsia="仿宋_GB2312" w:cs="仿宋_GB2312"/>
          <w:sz w:val="32"/>
          <w:szCs w:val="32"/>
          <w:highlight w:val="none"/>
        </w:rPr>
        <w:t>以当天供货总金额10%的数额</w:t>
      </w:r>
      <w:r>
        <w:rPr>
          <w:rFonts w:hint="eastAsia" w:ascii="仿宋_GB2312" w:hAnsi="仿宋_GB2312" w:eastAsia="仿宋_GB2312" w:cs="仿宋_GB2312"/>
          <w:sz w:val="32"/>
          <w:szCs w:val="32"/>
          <w:highlight w:val="none"/>
          <w:lang w:val="en-US" w:eastAsia="zh-CN"/>
        </w:rPr>
        <w:t>支付</w:t>
      </w:r>
      <w:r>
        <w:rPr>
          <w:rFonts w:hint="eastAsia" w:ascii="仿宋_GB2312" w:hAnsi="仿宋_GB2312" w:eastAsia="仿宋_GB2312" w:cs="仿宋_GB2312"/>
          <w:color w:val="FF0000"/>
          <w:sz w:val="32"/>
          <w:szCs w:val="32"/>
          <w:highlight w:val="none"/>
          <w:lang w:val="en-US" w:eastAsia="zh-CN"/>
        </w:rPr>
        <w:t>违约金</w:t>
      </w:r>
      <w:r>
        <w:rPr>
          <w:rFonts w:hint="eastAsia" w:ascii="仿宋_GB2312" w:hAnsi="仿宋_GB2312" w:eastAsia="仿宋_GB2312" w:cs="仿宋_GB2312"/>
          <w:sz w:val="32"/>
          <w:szCs w:val="32"/>
          <w:highlight w:val="none"/>
        </w:rPr>
        <w:t>，并由中标人按要求及时补货更换，因此造成的送货延误后果等均由中标人负责。</w:t>
      </w:r>
    </w:p>
    <w:p w14:paraId="4372D3F4">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eastAsia="仿宋_GB2312"/>
          <w:highlight w:val="yellow"/>
          <w:lang w:eastAsia="zh-CN"/>
        </w:rPr>
      </w:pPr>
      <w:r>
        <w:rPr>
          <w:rFonts w:hint="eastAsia" w:ascii="仿宋_GB2312" w:hAnsi="仿宋_GB2312" w:eastAsia="仿宋_GB2312" w:cs="仿宋_GB2312"/>
          <w:sz w:val="32"/>
          <w:szCs w:val="32"/>
          <w:highlight w:val="none"/>
        </w:rPr>
        <w:t>（2）若抽查未发现问题，而在加工食用前发现部分物品质量问题，应立即通知中标人，将问题产品退货处理</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并由中</w:t>
      </w:r>
      <w:r>
        <w:rPr>
          <w:rFonts w:hint="eastAsia" w:ascii="仿宋_GB2312" w:hAnsi="仿宋_GB2312" w:eastAsia="仿宋_GB2312" w:cs="仿宋_GB2312"/>
          <w:sz w:val="32"/>
          <w:szCs w:val="32"/>
        </w:rPr>
        <w:t>标人按要求及时补货更换，因此造成的后果等均由中标人负责。</w:t>
      </w:r>
    </w:p>
    <w:p w14:paraId="5B89A3DC">
      <w:pPr>
        <w:pStyle w:val="7"/>
        <w:keepNext w:val="0"/>
        <w:keepLines w:val="0"/>
        <w:pageBreakBefore w:val="0"/>
        <w:widowControl w:val="0"/>
        <w:numPr>
          <w:ilvl w:val="0"/>
          <w:numId w:val="0"/>
        </w:numPr>
        <w:kinsoku/>
        <w:wordWrap/>
        <w:overflowPunct/>
        <w:topLinePunct w:val="0"/>
        <w:autoSpaceDE/>
        <w:autoSpaceDN/>
        <w:bidi w:val="0"/>
        <w:adjustRightInd/>
        <w:spacing w:line="600" w:lineRule="exact"/>
        <w:ind w:leftChars="0"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六、</w:t>
      </w:r>
      <w:r>
        <w:rPr>
          <w:rFonts w:hint="eastAsia" w:ascii="黑体" w:hAnsi="黑体" w:eastAsia="黑体" w:cs="黑体"/>
          <w:b w:val="0"/>
          <w:bCs/>
          <w:sz w:val="32"/>
          <w:szCs w:val="32"/>
        </w:rPr>
        <w:t>售后服务</w:t>
      </w:r>
    </w:p>
    <w:p w14:paraId="27F9DAA5">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一</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中标人在供应过程中，如果发生出现质量问题或造成食物中毒或农药残留超标</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如变质等情况，经查实后确属中标人责任，采购人有权解除合同，中标人应承担全部责任，主要包括食物中毒人员医疗费、误工费、处理事故所产生的费用等，报执法部门追究相关刑事责任。</w:t>
      </w:r>
    </w:p>
    <w:p w14:paraId="756B9F3F">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二</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质保期内，非采购人的人为原因而出现产品质量问题，由中标人负责包换或包退，并承担因此而产生的一切费用。</w:t>
      </w:r>
    </w:p>
    <w:p w14:paraId="0789E400">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供应的食品如有质量问题，</w:t>
      </w:r>
      <w:r>
        <w:rPr>
          <w:rFonts w:hint="eastAsia" w:ascii="仿宋_GB2312" w:hAnsi="仿宋_GB2312" w:eastAsia="仿宋_GB2312" w:cs="仿宋_GB2312"/>
          <w:bCs/>
          <w:sz w:val="32"/>
          <w:szCs w:val="32"/>
        </w:rPr>
        <w:t>中标人</w:t>
      </w:r>
      <w:r>
        <w:rPr>
          <w:rFonts w:hint="eastAsia" w:ascii="仿宋_GB2312" w:hAnsi="仿宋_GB2312" w:eastAsia="仿宋_GB2312" w:cs="仿宋_GB2312"/>
          <w:sz w:val="32"/>
          <w:szCs w:val="32"/>
        </w:rPr>
        <w:t>应立即给予退货及追补。</w:t>
      </w:r>
    </w:p>
    <w:p w14:paraId="3C404284">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食材品质有保障，</w:t>
      </w:r>
      <w:r>
        <w:rPr>
          <w:rFonts w:hint="eastAsia" w:ascii="仿宋_GB2312" w:hAnsi="仿宋_GB2312" w:eastAsia="仿宋_GB2312" w:cs="仿宋_GB2312"/>
          <w:bCs/>
          <w:sz w:val="32"/>
          <w:szCs w:val="32"/>
        </w:rPr>
        <w:t>中标人</w:t>
      </w:r>
      <w:r>
        <w:rPr>
          <w:rFonts w:hint="eastAsia" w:ascii="仿宋_GB2312" w:hAnsi="仿宋_GB2312" w:eastAsia="仿宋_GB2312" w:cs="仿宋_GB2312"/>
          <w:sz w:val="32"/>
          <w:szCs w:val="32"/>
        </w:rPr>
        <w:t>具备随时无偿提供换货送货的能力。</w:t>
      </w:r>
    </w:p>
    <w:p w14:paraId="305812B9">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五</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中标人</w:t>
      </w:r>
      <w:r>
        <w:rPr>
          <w:rFonts w:hint="eastAsia" w:ascii="仿宋_GB2312" w:hAnsi="仿宋_GB2312" w:eastAsia="仿宋_GB2312" w:cs="仿宋_GB2312"/>
          <w:sz w:val="32"/>
          <w:szCs w:val="32"/>
        </w:rPr>
        <w:t>服务态度热情到位，具备一定的交流与沟通能力。</w:t>
      </w:r>
    </w:p>
    <w:p w14:paraId="0AFAF307">
      <w:pPr>
        <w:keepNext w:val="0"/>
        <w:keepLines w:val="0"/>
        <w:pageBreakBefore w:val="0"/>
        <w:widowControl w:val="0"/>
        <w:kinsoku/>
        <w:wordWrap/>
        <w:overflowPunct/>
        <w:topLinePunct w:val="0"/>
        <w:autoSpaceDE/>
        <w:autoSpaceDN/>
        <w:bidi w:val="0"/>
        <w:adjustRightInd/>
        <w:spacing w:line="600" w:lineRule="exact"/>
        <w:textAlignment w:val="auto"/>
        <w:rPr>
          <w:rFonts w:hint="eastAsia"/>
          <w:lang w:val="en-US" w:eastAsia="zh-CN"/>
        </w:rPr>
      </w:pPr>
    </w:p>
    <w:p w14:paraId="682B91A5">
      <w:pPr>
        <w:keepNext w:val="0"/>
        <w:keepLines w:val="0"/>
        <w:pageBreakBefore w:val="0"/>
        <w:widowControl w:val="0"/>
        <w:kinsoku/>
        <w:wordWrap/>
        <w:overflowPunct/>
        <w:topLinePunct w:val="0"/>
        <w:autoSpaceDE/>
        <w:autoSpaceDN/>
        <w:bidi w:val="0"/>
        <w:adjustRightInd/>
        <w:spacing w:line="600" w:lineRule="exact"/>
        <w:textAlignment w:val="auto"/>
        <w:rPr>
          <w:rFonts w:hint="eastAsia"/>
          <w:lang w:val="en-US" w:eastAsia="zh-CN"/>
        </w:rPr>
      </w:pPr>
    </w:p>
    <w:p w14:paraId="4310545F">
      <w:pPr>
        <w:keepNext w:val="0"/>
        <w:keepLines w:val="0"/>
        <w:pageBreakBefore w:val="0"/>
        <w:widowControl w:val="0"/>
        <w:kinsoku/>
        <w:wordWrap/>
        <w:overflowPunct/>
        <w:topLinePunct w:val="0"/>
        <w:autoSpaceDE/>
        <w:autoSpaceDN/>
        <w:bidi w:val="0"/>
        <w:adjustRightInd/>
        <w:spacing w:line="600" w:lineRule="exact"/>
        <w:textAlignment w:val="auto"/>
        <w:rPr>
          <w:rFonts w:hint="eastAsia"/>
          <w:lang w:val="en-US" w:eastAsia="zh-CN"/>
        </w:rPr>
      </w:pPr>
    </w:p>
    <w:p w14:paraId="6C448689">
      <w:pPr>
        <w:keepNext w:val="0"/>
        <w:keepLines w:val="0"/>
        <w:pageBreakBefore w:val="0"/>
        <w:widowControl w:val="0"/>
        <w:kinsoku/>
        <w:wordWrap/>
        <w:overflowPunct/>
        <w:topLinePunct w:val="0"/>
        <w:autoSpaceDE/>
        <w:autoSpaceDN/>
        <w:bidi w:val="0"/>
        <w:adjustRightInd/>
        <w:spacing w:line="600" w:lineRule="exact"/>
        <w:textAlignment w:val="auto"/>
        <w:rPr>
          <w:rFonts w:hint="eastAsia"/>
          <w:lang w:val="en-US" w:eastAsia="zh-CN"/>
        </w:rPr>
      </w:pPr>
    </w:p>
    <w:p w14:paraId="64741560">
      <w:pPr>
        <w:keepNext w:val="0"/>
        <w:keepLines w:val="0"/>
        <w:pageBreakBefore w:val="0"/>
        <w:widowControl w:val="0"/>
        <w:kinsoku/>
        <w:wordWrap/>
        <w:overflowPunct/>
        <w:topLinePunct w:val="0"/>
        <w:autoSpaceDE/>
        <w:autoSpaceDN/>
        <w:bidi w:val="0"/>
        <w:adjustRightInd/>
        <w:spacing w:line="600" w:lineRule="exact"/>
        <w:textAlignment w:val="auto"/>
        <w:rPr>
          <w:rFonts w:hint="eastAsia"/>
          <w:lang w:val="en-US" w:eastAsia="zh-CN"/>
        </w:rPr>
      </w:pPr>
    </w:p>
    <w:p w14:paraId="7DA0BE78">
      <w:pPr>
        <w:keepNext w:val="0"/>
        <w:keepLines w:val="0"/>
        <w:pageBreakBefore w:val="0"/>
        <w:widowControl w:val="0"/>
        <w:kinsoku/>
        <w:wordWrap/>
        <w:overflowPunct/>
        <w:topLinePunct w:val="0"/>
        <w:autoSpaceDE/>
        <w:autoSpaceDN/>
        <w:bidi w:val="0"/>
        <w:adjustRightInd/>
        <w:spacing w:line="600" w:lineRule="exact"/>
        <w:textAlignment w:val="auto"/>
        <w:rPr>
          <w:rFonts w:hint="eastAsia"/>
          <w:lang w:val="en-US" w:eastAsia="zh-CN"/>
        </w:rPr>
      </w:pPr>
    </w:p>
    <w:p w14:paraId="3F18E81A">
      <w:pPr>
        <w:keepNext w:val="0"/>
        <w:keepLines w:val="0"/>
        <w:pageBreakBefore w:val="0"/>
        <w:widowControl w:val="0"/>
        <w:kinsoku/>
        <w:wordWrap/>
        <w:overflowPunct/>
        <w:topLinePunct w:val="0"/>
        <w:autoSpaceDE/>
        <w:autoSpaceDN/>
        <w:bidi w:val="0"/>
        <w:adjustRightInd/>
        <w:spacing w:line="600" w:lineRule="exact"/>
        <w:jc w:val="both"/>
        <w:textAlignment w:val="auto"/>
        <w:rPr>
          <w:rFonts w:hint="eastAsia"/>
          <w:lang w:val="en-US" w:eastAsia="zh-CN"/>
        </w:rPr>
      </w:pPr>
    </w:p>
    <w:sectPr>
      <w:footerReference r:id="rId3" w:type="default"/>
      <w:pgSz w:w="11906" w:h="16838"/>
      <w:pgMar w:top="1417" w:right="1417" w:bottom="1417"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3B55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FB5A52">
                          <w:pPr>
                            <w:pStyle w:val="3"/>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DFB5A52">
                    <w:pPr>
                      <w:pStyle w:val="3"/>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ZmNjBiMzM3OTk4MjZhYzQ5OWNmNTZlY2RmOWZlMmUifQ=="/>
    <w:docVar w:name="KSO_WPS_MARK_KEY" w:val="88ba0db4-8b99-45f1-86be-4e4c6faa5656"/>
  </w:docVars>
  <w:rsids>
    <w:rsidRoot w:val="65C23ADB"/>
    <w:rsid w:val="02842E00"/>
    <w:rsid w:val="02847F5B"/>
    <w:rsid w:val="03026ADD"/>
    <w:rsid w:val="050C3A3A"/>
    <w:rsid w:val="06075D2F"/>
    <w:rsid w:val="063736B3"/>
    <w:rsid w:val="0992356F"/>
    <w:rsid w:val="0AE535A4"/>
    <w:rsid w:val="0E1E37F5"/>
    <w:rsid w:val="0EB818FA"/>
    <w:rsid w:val="13B36CFD"/>
    <w:rsid w:val="17AF2F28"/>
    <w:rsid w:val="1D8C6581"/>
    <w:rsid w:val="226B0696"/>
    <w:rsid w:val="26D77BBA"/>
    <w:rsid w:val="2905531A"/>
    <w:rsid w:val="2C896C3F"/>
    <w:rsid w:val="2F3D3458"/>
    <w:rsid w:val="32E5116E"/>
    <w:rsid w:val="385E3C26"/>
    <w:rsid w:val="3BCD3252"/>
    <w:rsid w:val="3C6252B6"/>
    <w:rsid w:val="3F156B49"/>
    <w:rsid w:val="40A455D5"/>
    <w:rsid w:val="43DB71BB"/>
    <w:rsid w:val="45BD54C4"/>
    <w:rsid w:val="46B56B03"/>
    <w:rsid w:val="47B21989"/>
    <w:rsid w:val="47DB2B65"/>
    <w:rsid w:val="48512979"/>
    <w:rsid w:val="4A1528C9"/>
    <w:rsid w:val="4BC92F00"/>
    <w:rsid w:val="4C3E2B07"/>
    <w:rsid w:val="4C4E05C5"/>
    <w:rsid w:val="4C5579EE"/>
    <w:rsid w:val="4E51473F"/>
    <w:rsid w:val="519009D1"/>
    <w:rsid w:val="53840C0D"/>
    <w:rsid w:val="55471F62"/>
    <w:rsid w:val="56553E33"/>
    <w:rsid w:val="56591F76"/>
    <w:rsid w:val="592E0745"/>
    <w:rsid w:val="65AE0D61"/>
    <w:rsid w:val="65C23ADB"/>
    <w:rsid w:val="66863467"/>
    <w:rsid w:val="675A636A"/>
    <w:rsid w:val="7027728A"/>
    <w:rsid w:val="707B432B"/>
    <w:rsid w:val="709D4A22"/>
    <w:rsid w:val="715E4352"/>
    <w:rsid w:val="71B414D1"/>
    <w:rsid w:val="73916A8D"/>
    <w:rsid w:val="74A34FF5"/>
    <w:rsid w:val="77470212"/>
    <w:rsid w:val="7868465B"/>
    <w:rsid w:val="7A0E7A64"/>
    <w:rsid w:val="7B2A7C2F"/>
    <w:rsid w:val="7C962567"/>
    <w:rsid w:val="7CEF1443"/>
    <w:rsid w:val="7E923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_Style 3"/>
    <w:basedOn w:val="1"/>
    <w:qFormat/>
    <w:uiPriority w:val="0"/>
    <w:pPr>
      <w:ind w:firstLine="420" w:firstLineChars="200"/>
    </w:pPr>
    <w:rPr>
      <w:sz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2852</Words>
  <Characters>2893</Characters>
  <Lines>0</Lines>
  <Paragraphs>0</Paragraphs>
  <TotalTime>0</TotalTime>
  <ScaleCrop>false</ScaleCrop>
  <LinksUpToDate>false</LinksUpToDate>
  <CharactersWithSpaces>2898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2020-09-14T00:21:00Z</dcterms:created>
  <dc:creator>WIN7</dc:creator>
  <cp:lastModifiedBy>Joseph</cp:lastModifiedBy>
  <cp:lastPrinted>2023-04-26T01:45:00Z</cp:lastPrinted>
  <dcterms:modified xsi:type="dcterms:W3CDTF">2026-07-20T07:25:36Z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BFEE8D26212A469A8638E41A3D488DF9_13</vt:lpwstr>
  </property>
  <property fmtid="{D5CDD505-2E9C-101B-9397-08002B2CF9AE}" pid="4" name="KSOTemplateDocerSaveRecord">
    <vt:lpwstr>eyJoZGlkIjoiNmZmNjBiMzM3OTk4MjZhYzQ5OWNmNTZlY2RmOWZlMmUiLCJ1c2VySWQiOiIyNjA3NzEzMDgifQ==</vt:lpwstr>
  </property>
</Properties>
</file>