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93C2">
      <w:pPr>
        <w:spacing w:line="560" w:lineRule="exact"/>
        <w:ind w:firstLine="640"/>
        <w:rPr>
          <w:rFonts w:ascii="Times New Roman" w:hAnsi="Times New Roman" w:cs="Times New Roman"/>
          <w:color w:val="auto"/>
          <w:sz w:val="28"/>
          <w:szCs w:val="28"/>
        </w:rPr>
      </w:pPr>
      <w:r>
        <w:rPr>
          <w:rFonts w:ascii="Times New Roman" w:hAnsi="Times New Roman" w:eastAsia="黑体" w:cs="Times New Roman"/>
          <w:color w:val="auto"/>
          <w:sz w:val="28"/>
          <w:szCs w:val="28"/>
        </w:rPr>
        <w:t>附件</w:t>
      </w:r>
      <w:r>
        <w:rPr>
          <w:rFonts w:ascii="Times New Roman" w:hAnsi="Times New Roman" w:cs="Times New Roman"/>
          <w:b/>
          <w:color w:val="auto"/>
          <w:sz w:val="28"/>
          <w:szCs w:val="28"/>
        </w:rPr>
        <w:t>2</w:t>
      </w:r>
      <w:r>
        <w:rPr>
          <w:rFonts w:ascii="Times New Roman" w:hAnsi="Times New Roman" w:cs="Times New Roman"/>
          <w:color w:val="auto"/>
          <w:sz w:val="28"/>
          <w:szCs w:val="28"/>
        </w:rPr>
        <w:t xml:space="preserve"> </w:t>
      </w:r>
    </w:p>
    <w:p w14:paraId="4F98AAD8">
      <w:pPr>
        <w:spacing w:line="560" w:lineRule="exact"/>
        <w:jc w:val="center"/>
        <w:rPr>
          <w:rFonts w:ascii="Times New Roman" w:hAnsi="Times New Roman" w:cs="Times New Roman"/>
          <w:b/>
          <w:bCs/>
          <w:color w:val="auto"/>
          <w:sz w:val="32"/>
          <w:szCs w:val="32"/>
        </w:rPr>
      </w:pPr>
      <w:bookmarkStart w:id="0" w:name="_GoBack"/>
      <w:r>
        <w:rPr>
          <w:rFonts w:ascii="Times New Roman" w:hAnsi="Times New Roman" w:cs="Times New Roman"/>
          <w:b/>
          <w:bCs/>
          <w:color w:val="auto"/>
          <w:sz w:val="32"/>
          <w:szCs w:val="32"/>
        </w:rPr>
        <w:t>罗定市外来人员随迁子女申请入读公办小学一年级积分指标及分值表</w:t>
      </w:r>
      <w:bookmarkEnd w:id="0"/>
    </w:p>
    <w:tbl>
      <w:tblPr>
        <w:tblStyle w:val="4"/>
        <w:tblW w:w="0" w:type="auto"/>
        <w:tblInd w:w="-9" w:type="dxa"/>
        <w:tblLayout w:type="fixed"/>
        <w:tblCellMar>
          <w:top w:w="0" w:type="dxa"/>
          <w:left w:w="108" w:type="dxa"/>
          <w:bottom w:w="0" w:type="dxa"/>
          <w:right w:w="108" w:type="dxa"/>
        </w:tblCellMar>
      </w:tblPr>
      <w:tblGrid>
        <w:gridCol w:w="870"/>
        <w:gridCol w:w="2430"/>
        <w:gridCol w:w="825"/>
        <w:gridCol w:w="4272"/>
        <w:gridCol w:w="7313"/>
      </w:tblGrid>
      <w:tr w14:paraId="4638D96C">
        <w:tblPrEx>
          <w:tblCellMar>
            <w:top w:w="0" w:type="dxa"/>
            <w:left w:w="108" w:type="dxa"/>
            <w:bottom w:w="0" w:type="dxa"/>
            <w:right w:w="108" w:type="dxa"/>
          </w:tblCellMar>
        </w:tblPrEx>
        <w:trPr>
          <w:trHeight w:val="671" w:hRule="atLeast"/>
        </w:trPr>
        <w:tc>
          <w:tcPr>
            <w:tcW w:w="870" w:type="dxa"/>
            <w:tcBorders>
              <w:top w:val="single" w:color="auto" w:sz="4" w:space="0"/>
              <w:left w:val="single" w:color="auto" w:sz="4" w:space="0"/>
              <w:bottom w:val="nil"/>
              <w:right w:val="single" w:color="auto" w:sz="4" w:space="0"/>
            </w:tcBorders>
            <w:noWrap w:val="0"/>
            <w:vAlign w:val="center"/>
          </w:tcPr>
          <w:p w14:paraId="57CB028F">
            <w:pPr>
              <w:spacing w:line="300" w:lineRule="exact"/>
              <w:jc w:val="center"/>
              <w:rPr>
                <w:rFonts w:ascii="Times New Roman" w:hAnsi="Times New Roman" w:cs="Times New Roman"/>
                <w:bCs/>
                <w:color w:val="auto"/>
                <w:sz w:val="24"/>
              </w:rPr>
            </w:pPr>
            <w:r>
              <w:rPr>
                <w:rFonts w:ascii="Times New Roman" w:hAnsi="Times New Roman" w:cs="Times New Roman"/>
                <w:bCs/>
                <w:color w:val="auto"/>
                <w:sz w:val="24"/>
              </w:rPr>
              <w:t>一级</w:t>
            </w:r>
          </w:p>
          <w:p w14:paraId="77EFE821">
            <w:pPr>
              <w:spacing w:line="300" w:lineRule="exact"/>
              <w:jc w:val="center"/>
              <w:rPr>
                <w:rFonts w:ascii="Times New Roman" w:hAnsi="Times New Roman" w:cs="Times New Roman"/>
                <w:bCs/>
                <w:color w:val="auto"/>
                <w:sz w:val="24"/>
              </w:rPr>
            </w:pPr>
            <w:r>
              <w:rPr>
                <w:rFonts w:ascii="Times New Roman" w:hAnsi="Times New Roman" w:cs="Times New Roman"/>
                <w:bCs/>
                <w:color w:val="auto"/>
                <w:sz w:val="24"/>
              </w:rPr>
              <w:t>指标</w:t>
            </w:r>
          </w:p>
        </w:tc>
        <w:tc>
          <w:tcPr>
            <w:tcW w:w="2430" w:type="dxa"/>
            <w:tcBorders>
              <w:top w:val="single" w:color="auto" w:sz="4" w:space="0"/>
              <w:left w:val="nil"/>
              <w:bottom w:val="single" w:color="auto" w:sz="4" w:space="0"/>
              <w:right w:val="single" w:color="auto" w:sz="4" w:space="0"/>
            </w:tcBorders>
            <w:noWrap w:val="0"/>
            <w:vAlign w:val="center"/>
          </w:tcPr>
          <w:p w14:paraId="0790F483">
            <w:pPr>
              <w:spacing w:line="300" w:lineRule="exact"/>
              <w:ind w:firstLine="787" w:firstLineChars="328"/>
              <w:jc w:val="both"/>
              <w:rPr>
                <w:rFonts w:ascii="Times New Roman" w:hAnsi="Times New Roman" w:cs="Times New Roman"/>
                <w:bCs/>
                <w:color w:val="auto"/>
                <w:sz w:val="24"/>
              </w:rPr>
            </w:pPr>
            <w:r>
              <w:rPr>
                <w:rFonts w:ascii="Times New Roman" w:hAnsi="Times New Roman" w:cs="Times New Roman"/>
                <w:bCs/>
                <w:color w:val="auto"/>
                <w:sz w:val="24"/>
              </w:rPr>
              <w:t>二级</w:t>
            </w:r>
          </w:p>
          <w:p w14:paraId="6D676B95">
            <w:pPr>
              <w:spacing w:line="300" w:lineRule="exact"/>
              <w:ind w:firstLine="787" w:firstLineChars="328"/>
              <w:jc w:val="both"/>
              <w:rPr>
                <w:rFonts w:ascii="Times New Roman" w:hAnsi="Times New Roman" w:cs="Times New Roman"/>
                <w:bCs/>
                <w:color w:val="auto"/>
                <w:sz w:val="24"/>
              </w:rPr>
            </w:pPr>
            <w:r>
              <w:rPr>
                <w:rFonts w:ascii="Times New Roman" w:hAnsi="Times New Roman" w:cs="Times New Roman"/>
                <w:bCs/>
                <w:color w:val="auto"/>
                <w:sz w:val="24"/>
              </w:rPr>
              <w:t>指标</w:t>
            </w:r>
          </w:p>
        </w:tc>
        <w:tc>
          <w:tcPr>
            <w:tcW w:w="825" w:type="dxa"/>
            <w:tcBorders>
              <w:top w:val="single" w:color="auto" w:sz="4" w:space="0"/>
              <w:left w:val="nil"/>
              <w:bottom w:val="single" w:color="auto" w:sz="4" w:space="0"/>
              <w:right w:val="single" w:color="auto" w:sz="4" w:space="0"/>
            </w:tcBorders>
            <w:noWrap w:val="0"/>
            <w:vAlign w:val="center"/>
          </w:tcPr>
          <w:p w14:paraId="3F93C266">
            <w:pPr>
              <w:spacing w:line="300" w:lineRule="exact"/>
              <w:ind w:left="240" w:hanging="240" w:hangingChars="100"/>
              <w:jc w:val="center"/>
              <w:rPr>
                <w:rFonts w:ascii="Times New Roman" w:hAnsi="Times New Roman" w:cs="Times New Roman"/>
                <w:bCs/>
                <w:color w:val="auto"/>
                <w:sz w:val="24"/>
                <w:lang w:eastAsia="zh-CN"/>
              </w:rPr>
            </w:pPr>
            <w:r>
              <w:rPr>
                <w:rFonts w:ascii="Times New Roman" w:hAnsi="Times New Roman" w:cs="Times New Roman"/>
                <w:bCs/>
                <w:color w:val="auto"/>
                <w:sz w:val="24"/>
                <w:lang w:eastAsia="zh-CN"/>
              </w:rPr>
              <w:t>最高</w:t>
            </w:r>
          </w:p>
          <w:p w14:paraId="5D1BD24A">
            <w:pPr>
              <w:spacing w:line="300" w:lineRule="exact"/>
              <w:ind w:left="240" w:hanging="240" w:hangingChars="100"/>
              <w:jc w:val="center"/>
              <w:rPr>
                <w:rFonts w:ascii="Times New Roman" w:hAnsi="Times New Roman" w:eastAsia="宋体" w:cs="Times New Roman"/>
                <w:bCs/>
                <w:color w:val="auto"/>
                <w:sz w:val="24"/>
                <w:lang w:eastAsia="zh-CN"/>
              </w:rPr>
            </w:pPr>
            <w:r>
              <w:rPr>
                <w:rFonts w:ascii="Times New Roman" w:hAnsi="Times New Roman" w:cs="Times New Roman"/>
                <w:bCs/>
                <w:color w:val="auto"/>
                <w:sz w:val="24"/>
                <w:lang w:eastAsia="zh-CN"/>
              </w:rPr>
              <w:t>分值</w:t>
            </w:r>
          </w:p>
        </w:tc>
        <w:tc>
          <w:tcPr>
            <w:tcW w:w="4272" w:type="dxa"/>
            <w:tcBorders>
              <w:top w:val="single" w:color="auto" w:sz="4" w:space="0"/>
              <w:left w:val="nil"/>
              <w:bottom w:val="single" w:color="auto" w:sz="4" w:space="0"/>
              <w:right w:val="single" w:color="auto" w:sz="4" w:space="0"/>
            </w:tcBorders>
            <w:noWrap w:val="0"/>
            <w:vAlign w:val="center"/>
          </w:tcPr>
          <w:p w14:paraId="2561B72E">
            <w:pPr>
              <w:spacing w:line="300" w:lineRule="exact"/>
              <w:ind w:firstLine="480"/>
              <w:jc w:val="center"/>
              <w:rPr>
                <w:rFonts w:ascii="Times New Roman" w:hAnsi="Times New Roman" w:cs="Times New Roman"/>
                <w:bCs/>
                <w:color w:val="auto"/>
                <w:sz w:val="24"/>
              </w:rPr>
            </w:pPr>
            <w:r>
              <w:rPr>
                <w:rFonts w:ascii="Times New Roman" w:hAnsi="Times New Roman" w:cs="Times New Roman"/>
                <w:bCs/>
                <w:color w:val="auto"/>
                <w:sz w:val="24"/>
              </w:rPr>
              <w:t>计分办法</w:t>
            </w:r>
          </w:p>
        </w:tc>
        <w:tc>
          <w:tcPr>
            <w:tcW w:w="7313" w:type="dxa"/>
            <w:tcBorders>
              <w:top w:val="single" w:color="auto" w:sz="4" w:space="0"/>
              <w:left w:val="nil"/>
              <w:bottom w:val="single" w:color="auto" w:sz="4" w:space="0"/>
              <w:right w:val="single" w:color="auto" w:sz="4" w:space="0"/>
            </w:tcBorders>
            <w:noWrap w:val="0"/>
            <w:vAlign w:val="center"/>
          </w:tcPr>
          <w:p w14:paraId="044E8DA0">
            <w:pPr>
              <w:spacing w:line="300" w:lineRule="exact"/>
              <w:ind w:firstLine="480"/>
              <w:jc w:val="center"/>
              <w:rPr>
                <w:rFonts w:ascii="Times New Roman" w:hAnsi="Times New Roman" w:cs="Times New Roman"/>
                <w:bCs/>
                <w:color w:val="auto"/>
                <w:sz w:val="24"/>
              </w:rPr>
            </w:pPr>
            <w:r>
              <w:rPr>
                <w:rFonts w:ascii="Times New Roman" w:hAnsi="Times New Roman" w:cs="Times New Roman"/>
                <w:bCs/>
                <w:color w:val="auto"/>
                <w:sz w:val="24"/>
              </w:rPr>
              <w:t>提交材料</w:t>
            </w:r>
          </w:p>
        </w:tc>
      </w:tr>
      <w:tr w14:paraId="730329FB">
        <w:tblPrEx>
          <w:tblCellMar>
            <w:top w:w="0" w:type="dxa"/>
            <w:left w:w="108" w:type="dxa"/>
            <w:bottom w:w="0" w:type="dxa"/>
            <w:right w:w="108" w:type="dxa"/>
          </w:tblCellMar>
        </w:tblPrEx>
        <w:trPr>
          <w:trHeight w:val="3580" w:hRule="atLeast"/>
        </w:trPr>
        <w:tc>
          <w:tcPr>
            <w:tcW w:w="870" w:type="dxa"/>
            <w:vMerge w:val="restart"/>
            <w:tcBorders>
              <w:top w:val="single" w:color="auto" w:sz="4" w:space="0"/>
              <w:left w:val="single" w:color="auto" w:sz="4" w:space="0"/>
              <w:right w:val="single" w:color="auto" w:sz="4" w:space="0"/>
            </w:tcBorders>
            <w:noWrap w:val="0"/>
            <w:vAlign w:val="center"/>
          </w:tcPr>
          <w:p w14:paraId="0BCCDDDA">
            <w:pPr>
              <w:spacing w:line="3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一、居住条件</w:t>
            </w:r>
          </w:p>
          <w:p w14:paraId="3DEF0B0A">
            <w:pPr>
              <w:spacing w:line="300" w:lineRule="exact"/>
              <w:jc w:val="center"/>
              <w:rPr>
                <w:rFonts w:ascii="Times New Roman" w:hAnsi="Times New Roman" w:eastAsia="楷体" w:cs="Times New Roman"/>
                <w:b/>
                <w:color w:val="auto"/>
                <w:sz w:val="24"/>
              </w:rPr>
            </w:pPr>
            <w:r>
              <w:rPr>
                <w:rFonts w:ascii="Times New Roman" w:hAnsi="Times New Roman" w:eastAsia="楷体" w:cs="Times New Roman"/>
                <w:b/>
                <w:color w:val="auto"/>
                <w:sz w:val="24"/>
              </w:rPr>
              <w:t>(在二级指标选其中一项计分)</w:t>
            </w:r>
          </w:p>
        </w:tc>
        <w:tc>
          <w:tcPr>
            <w:tcW w:w="2430" w:type="dxa"/>
            <w:tcBorders>
              <w:top w:val="nil"/>
              <w:left w:val="nil"/>
              <w:bottom w:val="single" w:color="auto" w:sz="4" w:space="0"/>
              <w:right w:val="single" w:color="auto" w:sz="4" w:space="0"/>
            </w:tcBorders>
            <w:noWrap w:val="0"/>
            <w:vAlign w:val="center"/>
          </w:tcPr>
          <w:p w14:paraId="3A86967C">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持有在招生</w:t>
            </w:r>
            <w:r>
              <w:rPr>
                <w:rFonts w:ascii="Times New Roman" w:hAnsi="Times New Roman" w:cs="Times New Roman"/>
                <w:color w:val="auto"/>
                <w:spacing w:val="15"/>
                <w:sz w:val="21"/>
                <w:szCs w:val="21"/>
              </w:rPr>
              <w:t>范围</w:t>
            </w:r>
            <w:r>
              <w:rPr>
                <w:rFonts w:ascii="Times New Roman" w:hAnsi="Times New Roman" w:cs="Times New Roman"/>
                <w:color w:val="auto"/>
                <w:sz w:val="21"/>
                <w:szCs w:val="21"/>
              </w:rPr>
              <w:t>内购置房产的合法房产证明</w:t>
            </w:r>
          </w:p>
        </w:tc>
        <w:tc>
          <w:tcPr>
            <w:tcW w:w="825" w:type="dxa"/>
            <w:tcBorders>
              <w:top w:val="nil"/>
              <w:left w:val="nil"/>
              <w:bottom w:val="single" w:color="auto" w:sz="4" w:space="0"/>
              <w:right w:val="single" w:color="auto" w:sz="4" w:space="0"/>
            </w:tcBorders>
            <w:noWrap w:val="0"/>
            <w:vAlign w:val="center"/>
          </w:tcPr>
          <w:p w14:paraId="0B091B75">
            <w:pPr>
              <w:spacing w:line="300" w:lineRule="exact"/>
              <w:ind w:firstLine="480"/>
              <w:jc w:val="center"/>
              <w:rPr>
                <w:rFonts w:ascii="Times New Roman" w:hAnsi="Times New Roman" w:cs="Times New Roman"/>
                <w:color w:val="auto"/>
                <w:sz w:val="21"/>
                <w:szCs w:val="21"/>
              </w:rPr>
            </w:pPr>
            <w:r>
              <w:rPr>
                <w:rFonts w:ascii="Times New Roman" w:hAnsi="Times New Roman" w:cs="Times New Roman"/>
                <w:color w:val="auto"/>
                <w:sz w:val="21"/>
                <w:szCs w:val="21"/>
              </w:rPr>
              <w:t>　100</w:t>
            </w:r>
          </w:p>
        </w:tc>
        <w:tc>
          <w:tcPr>
            <w:tcW w:w="4272" w:type="dxa"/>
            <w:tcBorders>
              <w:top w:val="nil"/>
              <w:left w:val="nil"/>
              <w:bottom w:val="single" w:color="auto" w:sz="4" w:space="0"/>
              <w:right w:val="single" w:color="auto" w:sz="4" w:space="0"/>
            </w:tcBorders>
            <w:noWrap w:val="0"/>
            <w:vAlign w:val="center"/>
          </w:tcPr>
          <w:p w14:paraId="1771A645">
            <w:pPr>
              <w:spacing w:line="28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1.儿童父或母有房产证得100分。</w:t>
            </w:r>
          </w:p>
          <w:p w14:paraId="7CAD32F1">
            <w:pPr>
              <w:spacing w:line="28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2.儿童祖父母或外祖父母有房产证，儿童父或母是产权人独生子女（有独生证）的得100分，不是独生子女的按60分计。</w:t>
            </w:r>
          </w:p>
          <w:p w14:paraId="4B2763FD">
            <w:pPr>
              <w:spacing w:line="280" w:lineRule="exact"/>
              <w:ind w:left="13" w:leftChars="6" w:firstLine="540"/>
              <w:rPr>
                <w:rFonts w:ascii="Times New Roman" w:hAnsi="Times New Roman" w:cs="Times New Roman"/>
                <w:color w:val="auto"/>
                <w:sz w:val="21"/>
                <w:szCs w:val="21"/>
              </w:rPr>
            </w:pPr>
          </w:p>
        </w:tc>
        <w:tc>
          <w:tcPr>
            <w:tcW w:w="7313" w:type="dxa"/>
            <w:tcBorders>
              <w:top w:val="nil"/>
              <w:left w:val="nil"/>
              <w:bottom w:val="single" w:color="auto" w:sz="4" w:space="0"/>
              <w:right w:val="single" w:color="auto" w:sz="4" w:space="0"/>
            </w:tcBorders>
            <w:noWrap w:val="0"/>
            <w:vAlign w:val="center"/>
          </w:tcPr>
          <w:p w14:paraId="340F1D6C">
            <w:pPr>
              <w:pStyle w:val="6"/>
              <w:kinsoku/>
              <w:autoSpaceDE/>
              <w:autoSpaceDN/>
              <w:adjustRightInd/>
              <w:snapToGrid/>
              <w:spacing w:before="0" w:beforeAutospacing="0" w:after="0" w:afterAutospacing="0" w:line="260" w:lineRule="exact"/>
              <w:ind w:firstLine="252" w:firstLineChars="105"/>
              <w:jc w:val="both"/>
              <w:textAlignment w:val="auto"/>
              <w:rPr>
                <w:rFonts w:ascii="Times New Roman" w:hAnsi="Times New Roman" w:cs="Times New Roman"/>
                <w:color w:val="auto"/>
                <w:spacing w:val="15"/>
                <w:sz w:val="21"/>
                <w:szCs w:val="21"/>
              </w:rPr>
            </w:pPr>
            <w:r>
              <w:rPr>
                <w:rFonts w:ascii="Times New Roman" w:hAnsi="Times New Roman" w:cs="Times New Roman"/>
                <w:color w:val="auto"/>
                <w:spacing w:val="15"/>
                <w:sz w:val="21"/>
                <w:szCs w:val="21"/>
              </w:rPr>
              <w:t>1.提交儿童父母在招生范围内购置合法房产的《房产证》或《不动产权证书》原件、复印件。如果儿童父母在招生范围内购置合法房产但未取得房产证的按下列情形提供相关材料：①属于商品房的在报名截止时间已合法交付使用的相关手续凭据</w:t>
            </w:r>
            <w:r>
              <w:rPr>
                <w:rFonts w:ascii="Times New Roman" w:hAnsi="Times New Roman" w:cs="Times New Roman"/>
                <w:color w:val="auto"/>
                <w:spacing w:val="15"/>
                <w:sz w:val="21"/>
                <w:szCs w:val="21"/>
                <w:lang w:eastAsia="zh-CN"/>
              </w:rPr>
              <w:t>，并提供合法购房合同和契税完税证明的得100分，不能提供契税完税证明的得80分</w:t>
            </w:r>
            <w:r>
              <w:rPr>
                <w:rFonts w:ascii="Times New Roman" w:hAnsi="Times New Roman" w:cs="Times New Roman"/>
                <w:color w:val="auto"/>
                <w:spacing w:val="15"/>
                <w:sz w:val="21"/>
                <w:szCs w:val="21"/>
              </w:rPr>
              <w:t>；②属于自建房的需提供在该住所的土地证(</w:t>
            </w:r>
            <w:r>
              <w:rPr>
                <w:rFonts w:ascii="Times New Roman" w:hAnsi="Times New Roman" w:cs="Times New Roman"/>
                <w:color w:val="auto"/>
                <w:spacing w:val="15"/>
                <w:sz w:val="21"/>
                <w:szCs w:val="21"/>
                <w:lang w:eastAsia="zh-CN"/>
              </w:rPr>
              <w:t>建设工程规划许可证或乡村建设规划许可证</w:t>
            </w:r>
            <w:r>
              <w:rPr>
                <w:rFonts w:ascii="Times New Roman" w:hAnsi="Times New Roman" w:cs="Times New Roman"/>
                <w:color w:val="auto"/>
                <w:spacing w:val="15"/>
                <w:sz w:val="21"/>
                <w:szCs w:val="21"/>
              </w:rPr>
              <w:t>)、儿童父或母一方姓名缴交的水费、电费等凭据</w:t>
            </w:r>
            <w:r>
              <w:rPr>
                <w:rFonts w:hint="eastAsia" w:ascii="Times New Roman" w:hAnsi="Times New Roman" w:eastAsia="宋体" w:cs="Times New Roman"/>
                <w:color w:val="auto"/>
                <w:spacing w:val="15"/>
                <w:sz w:val="21"/>
                <w:szCs w:val="21"/>
                <w:lang w:eastAsia="zh-CN"/>
              </w:rPr>
              <w:t>；</w:t>
            </w:r>
            <w:r>
              <w:rPr>
                <w:rFonts w:ascii="Times New Roman" w:hAnsi="Times New Roman" w:cs="Times New Roman"/>
                <w:color w:val="auto"/>
                <w:spacing w:val="15"/>
                <w:sz w:val="21"/>
                <w:szCs w:val="21"/>
              </w:rPr>
              <w:t>③属于共建房的需提供在该住所合法的建房合同与公证书、儿童父或母一方姓名缴交的水费、电费等凭据。</w:t>
            </w:r>
          </w:p>
          <w:p w14:paraId="643AC841">
            <w:pPr>
              <w:pStyle w:val="6"/>
              <w:kinsoku/>
              <w:autoSpaceDE/>
              <w:autoSpaceDN/>
              <w:adjustRightInd/>
              <w:snapToGrid/>
              <w:spacing w:before="0" w:beforeAutospacing="0" w:after="0" w:afterAutospacing="0" w:line="260" w:lineRule="exact"/>
              <w:ind w:firstLine="252" w:firstLineChars="105"/>
              <w:jc w:val="both"/>
              <w:textAlignment w:val="auto"/>
              <w:rPr>
                <w:rFonts w:ascii="Times New Roman" w:hAnsi="Times New Roman" w:cs="Times New Roman"/>
                <w:color w:val="auto"/>
                <w:spacing w:val="15"/>
                <w:sz w:val="21"/>
                <w:szCs w:val="21"/>
              </w:rPr>
            </w:pPr>
            <w:r>
              <w:rPr>
                <w:rFonts w:ascii="Times New Roman" w:hAnsi="Times New Roman" w:cs="Times New Roman"/>
                <w:color w:val="auto"/>
                <w:spacing w:val="15"/>
                <w:sz w:val="21"/>
                <w:szCs w:val="21"/>
              </w:rPr>
              <w:t xml:space="preserve">2.房屋产权是儿童祖父母或外祖父母的，提交于招生范围购置房产的《房产证》或《不动产权证书》，并提供相关人员户口簿的原件、复印件。 </w:t>
            </w:r>
          </w:p>
        </w:tc>
      </w:tr>
      <w:tr w14:paraId="6A1E98DA">
        <w:tblPrEx>
          <w:tblCellMar>
            <w:top w:w="0" w:type="dxa"/>
            <w:left w:w="108" w:type="dxa"/>
            <w:bottom w:w="0" w:type="dxa"/>
            <w:right w:w="108" w:type="dxa"/>
          </w:tblCellMar>
        </w:tblPrEx>
        <w:trPr>
          <w:trHeight w:val="805" w:hRule="atLeast"/>
        </w:trPr>
        <w:tc>
          <w:tcPr>
            <w:tcW w:w="870" w:type="dxa"/>
            <w:vMerge w:val="continue"/>
            <w:tcBorders>
              <w:left w:val="single" w:color="auto" w:sz="4" w:space="0"/>
              <w:right w:val="single" w:color="auto" w:sz="4" w:space="0"/>
            </w:tcBorders>
            <w:noWrap w:val="0"/>
            <w:vAlign w:val="center"/>
          </w:tcPr>
          <w:p w14:paraId="5452A795">
            <w:pPr>
              <w:spacing w:line="300" w:lineRule="exact"/>
              <w:ind w:firstLine="480"/>
              <w:rPr>
                <w:rFonts w:ascii="Times New Roman" w:hAnsi="Times New Roman" w:cs="Times New Roman"/>
                <w:color w:val="auto"/>
                <w:sz w:val="24"/>
              </w:rPr>
            </w:pPr>
          </w:p>
        </w:tc>
        <w:tc>
          <w:tcPr>
            <w:tcW w:w="2430" w:type="dxa"/>
            <w:tcBorders>
              <w:top w:val="nil"/>
              <w:left w:val="nil"/>
              <w:bottom w:val="single" w:color="auto" w:sz="4" w:space="0"/>
              <w:right w:val="single" w:color="auto" w:sz="4" w:space="0"/>
            </w:tcBorders>
            <w:noWrap w:val="0"/>
            <w:vAlign w:val="center"/>
          </w:tcPr>
          <w:p w14:paraId="65D8A482">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儿童父或母在招生地段内有户籍的</w:t>
            </w:r>
          </w:p>
        </w:tc>
        <w:tc>
          <w:tcPr>
            <w:tcW w:w="825" w:type="dxa"/>
            <w:tcBorders>
              <w:top w:val="nil"/>
              <w:left w:val="nil"/>
              <w:bottom w:val="single" w:color="auto" w:sz="4" w:space="0"/>
              <w:right w:val="single" w:color="auto" w:sz="4" w:space="0"/>
            </w:tcBorders>
            <w:noWrap w:val="0"/>
            <w:vAlign w:val="center"/>
          </w:tcPr>
          <w:p w14:paraId="215A5338">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4272" w:type="dxa"/>
            <w:tcBorders>
              <w:top w:val="nil"/>
              <w:left w:val="nil"/>
              <w:bottom w:val="single" w:color="auto" w:sz="4" w:space="0"/>
              <w:right w:val="single" w:color="auto" w:sz="4" w:space="0"/>
            </w:tcBorders>
            <w:noWrap w:val="0"/>
            <w:vAlign w:val="center"/>
          </w:tcPr>
          <w:p w14:paraId="5269046E">
            <w:pPr>
              <w:spacing w:line="28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儿童父或母为招生范围内户籍得60分。</w:t>
            </w:r>
          </w:p>
        </w:tc>
        <w:tc>
          <w:tcPr>
            <w:tcW w:w="7313" w:type="dxa"/>
            <w:tcBorders>
              <w:top w:val="nil"/>
              <w:left w:val="nil"/>
              <w:bottom w:val="single" w:color="auto" w:sz="4" w:space="0"/>
              <w:right w:val="single" w:color="auto" w:sz="4" w:space="0"/>
            </w:tcBorders>
            <w:noWrap w:val="0"/>
            <w:vAlign w:val="center"/>
          </w:tcPr>
          <w:p w14:paraId="498B7C45">
            <w:pPr>
              <w:kinsoku/>
              <w:autoSpaceDE/>
              <w:autoSpaceDN/>
              <w:adjustRightInd/>
              <w:snapToGrid/>
              <w:spacing w:line="260" w:lineRule="exact"/>
              <w:ind w:firstLine="482"/>
              <w:textAlignment w:val="auto"/>
              <w:rPr>
                <w:rFonts w:ascii="Times New Roman" w:hAnsi="Times New Roman" w:cs="Times New Roman"/>
                <w:color w:val="auto"/>
                <w:sz w:val="21"/>
                <w:szCs w:val="21"/>
              </w:rPr>
            </w:pPr>
            <w:r>
              <w:rPr>
                <w:rFonts w:ascii="Times New Roman" w:hAnsi="Times New Roman" w:cs="Times New Roman"/>
                <w:color w:val="auto"/>
                <w:sz w:val="21"/>
                <w:szCs w:val="21"/>
              </w:rPr>
              <w:t>儿童父、母的户口本、身份证。</w:t>
            </w:r>
          </w:p>
        </w:tc>
      </w:tr>
      <w:tr w14:paraId="5DDB19B9">
        <w:tblPrEx>
          <w:tblCellMar>
            <w:top w:w="0" w:type="dxa"/>
            <w:left w:w="108" w:type="dxa"/>
            <w:bottom w:w="0" w:type="dxa"/>
            <w:right w:w="108" w:type="dxa"/>
          </w:tblCellMar>
        </w:tblPrEx>
        <w:trPr>
          <w:trHeight w:val="1275" w:hRule="atLeast"/>
        </w:trPr>
        <w:tc>
          <w:tcPr>
            <w:tcW w:w="870" w:type="dxa"/>
            <w:vMerge w:val="continue"/>
            <w:tcBorders>
              <w:left w:val="single" w:color="auto" w:sz="4" w:space="0"/>
              <w:right w:val="single" w:color="auto" w:sz="4" w:space="0"/>
            </w:tcBorders>
            <w:noWrap w:val="0"/>
            <w:vAlign w:val="center"/>
          </w:tcPr>
          <w:p w14:paraId="6AFB23D8">
            <w:pPr>
              <w:spacing w:line="300" w:lineRule="exact"/>
              <w:ind w:firstLine="480"/>
              <w:rPr>
                <w:rFonts w:ascii="Times New Roman" w:hAnsi="Times New Roman" w:cs="Times New Roman"/>
                <w:color w:val="auto"/>
                <w:sz w:val="24"/>
              </w:rPr>
            </w:pPr>
          </w:p>
        </w:tc>
        <w:tc>
          <w:tcPr>
            <w:tcW w:w="2430" w:type="dxa"/>
            <w:tcBorders>
              <w:top w:val="single" w:color="auto" w:sz="4" w:space="0"/>
              <w:left w:val="nil"/>
              <w:bottom w:val="single" w:color="auto" w:sz="4" w:space="0"/>
              <w:right w:val="single" w:color="auto" w:sz="4" w:space="0"/>
            </w:tcBorders>
            <w:noWrap w:val="0"/>
            <w:vAlign w:val="center"/>
          </w:tcPr>
          <w:p w14:paraId="13C34C1F">
            <w:pPr>
              <w:spacing w:line="300" w:lineRule="exact"/>
              <w:ind w:firstLine="480"/>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云浮市外户籍持有罗定市核发的招生</w:t>
            </w:r>
            <w:r>
              <w:rPr>
                <w:rFonts w:ascii="Times New Roman" w:hAnsi="Times New Roman" w:cs="Times New Roman"/>
                <w:color w:val="auto"/>
                <w:spacing w:val="15"/>
                <w:sz w:val="21"/>
                <w:szCs w:val="21"/>
              </w:rPr>
              <w:t>范围</w:t>
            </w:r>
            <w:r>
              <w:rPr>
                <w:rFonts w:ascii="Times New Roman" w:hAnsi="Times New Roman" w:cs="Times New Roman"/>
                <w:color w:val="auto"/>
                <w:sz w:val="21"/>
                <w:szCs w:val="21"/>
              </w:rPr>
              <w:t>内的广东省居住证</w:t>
            </w:r>
            <w:r>
              <w:rPr>
                <w:rFonts w:hint="eastAsia" w:ascii="Times New Roman" w:hAnsi="Times New Roman" w:eastAsia="宋体" w:cs="Times New Roman"/>
                <w:color w:val="auto"/>
                <w:sz w:val="21"/>
                <w:szCs w:val="21"/>
                <w:lang w:eastAsia="zh-CN"/>
              </w:rPr>
              <w:t>；</w:t>
            </w:r>
            <w:r>
              <w:rPr>
                <w:rFonts w:ascii="Times New Roman" w:hAnsi="Times New Roman" w:cs="Times New Roman"/>
                <w:color w:val="auto"/>
                <w:spacing w:val="30"/>
              </w:rPr>
              <w:t>华侨</w:t>
            </w:r>
            <w:r>
              <w:rPr>
                <w:rFonts w:hint="eastAsia" w:ascii="Times New Roman" w:hAnsi="Times New Roman" w:cs="Times New Roman"/>
                <w:color w:val="auto"/>
                <w:sz w:val="21"/>
                <w:szCs w:val="21"/>
                <w:lang w:val="en-US" w:eastAsia="zh-CN"/>
              </w:rPr>
              <w:t>和持有香港、澳门居住证的港澳居民或其随迁子女</w:t>
            </w:r>
          </w:p>
        </w:tc>
        <w:tc>
          <w:tcPr>
            <w:tcW w:w="825" w:type="dxa"/>
            <w:tcBorders>
              <w:top w:val="single" w:color="auto" w:sz="4" w:space="0"/>
              <w:left w:val="nil"/>
              <w:bottom w:val="single" w:color="auto" w:sz="4" w:space="0"/>
              <w:right w:val="single" w:color="auto" w:sz="4" w:space="0"/>
            </w:tcBorders>
            <w:noWrap w:val="0"/>
            <w:vAlign w:val="center"/>
          </w:tcPr>
          <w:p w14:paraId="444E3FEE">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4272" w:type="dxa"/>
            <w:tcBorders>
              <w:top w:val="single" w:color="auto" w:sz="4" w:space="0"/>
              <w:left w:val="nil"/>
              <w:bottom w:val="single" w:color="auto" w:sz="4" w:space="0"/>
              <w:right w:val="single" w:color="auto" w:sz="4" w:space="0"/>
            </w:tcBorders>
            <w:noWrap w:val="0"/>
            <w:vAlign w:val="center"/>
          </w:tcPr>
          <w:p w14:paraId="73594351">
            <w:pPr>
              <w:kinsoku/>
              <w:autoSpaceDE/>
              <w:autoSpaceDN/>
              <w:adjustRightInd/>
              <w:snapToGrid/>
              <w:spacing w:line="260" w:lineRule="exact"/>
              <w:ind w:firstLine="480"/>
              <w:jc w:val="both"/>
              <w:textAlignment w:val="auto"/>
              <w:rPr>
                <w:rFonts w:ascii="Times New Roman" w:hAnsi="Times New Roman" w:cs="Times New Roman"/>
                <w:color w:val="auto"/>
                <w:sz w:val="21"/>
                <w:szCs w:val="21"/>
              </w:rPr>
            </w:pPr>
            <w:r>
              <w:rPr>
                <w:rFonts w:ascii="Times New Roman" w:hAnsi="Times New Roman" w:cs="Times New Roman"/>
                <w:color w:val="auto"/>
                <w:sz w:val="21"/>
                <w:szCs w:val="21"/>
              </w:rPr>
              <w:t>儿童父母为非本市户籍的计算居住年限得分,从报名月份起往回推算连续居住6个月给6分，不足6个月不给分；超过6个月的按每月1分累加，5年内累加最高60分。</w:t>
            </w:r>
          </w:p>
        </w:tc>
        <w:tc>
          <w:tcPr>
            <w:tcW w:w="7313" w:type="dxa"/>
            <w:tcBorders>
              <w:top w:val="single" w:color="auto" w:sz="4" w:space="0"/>
              <w:left w:val="nil"/>
              <w:bottom w:val="single" w:color="auto" w:sz="4" w:space="0"/>
              <w:right w:val="single" w:color="auto" w:sz="4" w:space="0"/>
            </w:tcBorders>
            <w:noWrap w:val="0"/>
            <w:vAlign w:val="center"/>
          </w:tcPr>
          <w:p w14:paraId="041E60C0">
            <w:pPr>
              <w:kinsoku/>
              <w:autoSpaceDE/>
              <w:autoSpaceDN/>
              <w:adjustRightInd/>
              <w:snapToGrid/>
              <w:spacing w:line="260" w:lineRule="exact"/>
              <w:ind w:firstLine="482"/>
              <w:jc w:val="both"/>
              <w:textAlignment w:val="auto"/>
              <w:rPr>
                <w:rFonts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1.</w:t>
            </w:r>
            <w:r>
              <w:rPr>
                <w:rFonts w:ascii="Times New Roman" w:hAnsi="Times New Roman" w:cs="Times New Roman"/>
                <w:color w:val="auto"/>
                <w:sz w:val="21"/>
                <w:szCs w:val="21"/>
              </w:rPr>
              <w:t>云浮市以外户籍的需提供在本市办理的《广东省居住证》，以公安部门核查年限为准；从其子女申请入学的当年报名月份往回推算5年计算有效。</w:t>
            </w:r>
          </w:p>
          <w:p w14:paraId="6705A732">
            <w:pPr>
              <w:kinsoku/>
              <w:autoSpaceDE/>
              <w:autoSpaceDN/>
              <w:adjustRightInd/>
              <w:snapToGrid/>
              <w:spacing w:line="260" w:lineRule="exact"/>
              <w:ind w:firstLine="482"/>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2.华侨和持有香港、澳门居住证的港澳居民或其随迁子女提供</w:t>
            </w:r>
            <w:r>
              <w:rPr>
                <w:rFonts w:ascii="Times New Roman" w:hAnsi="Times New Roman" w:cs="Times New Roman"/>
                <w:color w:val="auto"/>
                <w:sz w:val="21"/>
                <w:szCs w:val="21"/>
              </w:rPr>
              <w:t>相关使领馆证明、本人护照或身份证件、居住证；父亲或母亲的《台湾居民来往大陆通行证》、居住证；市级以上统战部、外事局证明及合法居留证明</w:t>
            </w:r>
            <w:r>
              <w:rPr>
                <w:rFonts w:hint="eastAsia" w:ascii="Times New Roman" w:hAnsi="Times New Roman" w:cs="Times New Roman"/>
                <w:color w:val="auto"/>
                <w:sz w:val="21"/>
                <w:szCs w:val="21"/>
                <w:lang w:val="en-US" w:eastAsia="zh-CN"/>
              </w:rPr>
              <w:t>等材料。</w:t>
            </w:r>
          </w:p>
        </w:tc>
      </w:tr>
      <w:tr w14:paraId="432E1E60">
        <w:tblPrEx>
          <w:tblCellMar>
            <w:top w:w="0" w:type="dxa"/>
            <w:left w:w="108" w:type="dxa"/>
            <w:bottom w:w="0" w:type="dxa"/>
            <w:right w:w="108" w:type="dxa"/>
          </w:tblCellMar>
        </w:tblPrEx>
        <w:trPr>
          <w:trHeight w:val="1405" w:hRule="atLeast"/>
        </w:trPr>
        <w:tc>
          <w:tcPr>
            <w:tcW w:w="870" w:type="dxa"/>
            <w:vMerge w:val="continue"/>
            <w:tcBorders>
              <w:left w:val="single" w:color="auto" w:sz="4" w:space="0"/>
              <w:bottom w:val="single" w:color="auto" w:sz="4" w:space="0"/>
              <w:right w:val="single" w:color="auto" w:sz="4" w:space="0"/>
            </w:tcBorders>
            <w:noWrap w:val="0"/>
            <w:vAlign w:val="center"/>
          </w:tcPr>
          <w:p w14:paraId="6B0A0D90">
            <w:pPr>
              <w:spacing w:line="300" w:lineRule="exact"/>
              <w:ind w:firstLine="480"/>
              <w:rPr>
                <w:rFonts w:ascii="Times New Roman" w:hAnsi="Times New Roman" w:cs="Times New Roman"/>
                <w:color w:val="auto"/>
                <w:sz w:val="24"/>
              </w:rPr>
            </w:pPr>
          </w:p>
        </w:tc>
        <w:tc>
          <w:tcPr>
            <w:tcW w:w="2430" w:type="dxa"/>
            <w:tcBorders>
              <w:top w:val="single" w:color="auto" w:sz="4" w:space="0"/>
              <w:left w:val="nil"/>
              <w:bottom w:val="single" w:color="auto" w:sz="4" w:space="0"/>
              <w:right w:val="single" w:color="auto" w:sz="4" w:space="0"/>
            </w:tcBorders>
            <w:noWrap w:val="0"/>
            <w:vAlign w:val="center"/>
          </w:tcPr>
          <w:p w14:paraId="75E83829">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本市（含云浮市各县、市、区）户籍持有属于招生</w:t>
            </w:r>
            <w:r>
              <w:rPr>
                <w:rFonts w:ascii="Times New Roman" w:hAnsi="Times New Roman" w:cs="Times New Roman"/>
                <w:color w:val="auto"/>
                <w:spacing w:val="15"/>
                <w:sz w:val="21"/>
                <w:szCs w:val="21"/>
              </w:rPr>
              <w:t>范围</w:t>
            </w:r>
            <w:r>
              <w:rPr>
                <w:rFonts w:ascii="Times New Roman" w:hAnsi="Times New Roman" w:cs="Times New Roman"/>
                <w:color w:val="auto"/>
                <w:sz w:val="21"/>
                <w:szCs w:val="21"/>
              </w:rPr>
              <w:t>内的居住证明材料</w:t>
            </w:r>
          </w:p>
        </w:tc>
        <w:tc>
          <w:tcPr>
            <w:tcW w:w="825" w:type="dxa"/>
            <w:tcBorders>
              <w:top w:val="single" w:color="auto" w:sz="4" w:space="0"/>
              <w:left w:val="nil"/>
              <w:bottom w:val="single" w:color="auto" w:sz="4" w:space="0"/>
              <w:right w:val="single" w:color="auto" w:sz="4" w:space="0"/>
            </w:tcBorders>
            <w:noWrap w:val="0"/>
            <w:vAlign w:val="center"/>
          </w:tcPr>
          <w:p w14:paraId="62E33022">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4272" w:type="dxa"/>
            <w:tcBorders>
              <w:top w:val="single" w:color="auto" w:sz="4" w:space="0"/>
              <w:left w:val="nil"/>
              <w:bottom w:val="single" w:color="auto" w:sz="4" w:space="0"/>
              <w:right w:val="single" w:color="auto" w:sz="4" w:space="0"/>
            </w:tcBorders>
            <w:noWrap w:val="0"/>
            <w:vAlign w:val="center"/>
          </w:tcPr>
          <w:p w14:paraId="20004BE2">
            <w:pPr>
              <w:kinsoku/>
              <w:autoSpaceDE/>
              <w:autoSpaceDN/>
              <w:adjustRightInd/>
              <w:snapToGrid/>
              <w:spacing w:line="260" w:lineRule="exact"/>
              <w:ind w:firstLine="480"/>
              <w:jc w:val="both"/>
              <w:textAlignment w:val="auto"/>
              <w:rPr>
                <w:rFonts w:ascii="Times New Roman" w:hAnsi="Times New Roman" w:cs="Times New Roman"/>
                <w:color w:val="auto"/>
                <w:sz w:val="21"/>
                <w:szCs w:val="21"/>
              </w:rPr>
            </w:pPr>
            <w:r>
              <w:rPr>
                <w:rFonts w:ascii="Times New Roman" w:hAnsi="Times New Roman" w:cs="Times New Roman"/>
                <w:color w:val="auto"/>
                <w:sz w:val="21"/>
                <w:szCs w:val="21"/>
              </w:rPr>
              <w:t>儿童父母双方为本市（含云浮市各县、市、区）户籍，租住类的计算居住年限得分，从招生报名月份起往回推算，连续居住6个月给6分，不足6个月不给分，超过6个月的按每月1分累加，5年内累加最高60分。</w:t>
            </w:r>
          </w:p>
        </w:tc>
        <w:tc>
          <w:tcPr>
            <w:tcW w:w="7313" w:type="dxa"/>
            <w:tcBorders>
              <w:top w:val="single" w:color="auto" w:sz="4" w:space="0"/>
              <w:left w:val="nil"/>
              <w:bottom w:val="single" w:color="auto" w:sz="4" w:space="0"/>
              <w:right w:val="single" w:color="auto" w:sz="4" w:space="0"/>
            </w:tcBorders>
            <w:noWrap w:val="0"/>
            <w:vAlign w:val="center"/>
          </w:tcPr>
          <w:p w14:paraId="47BCDBDC">
            <w:pPr>
              <w:kinsoku/>
              <w:autoSpaceDE/>
              <w:autoSpaceDN/>
              <w:adjustRightInd/>
              <w:snapToGrid/>
              <w:spacing w:line="260" w:lineRule="exact"/>
              <w:ind w:firstLine="482"/>
              <w:jc w:val="both"/>
              <w:textAlignment w:val="auto"/>
              <w:rPr>
                <w:rFonts w:ascii="Times New Roman" w:hAnsi="Times New Roman" w:eastAsia="宋体" w:cs="Times New Roman"/>
                <w:color w:val="auto"/>
                <w:sz w:val="21"/>
                <w:szCs w:val="21"/>
                <w:lang w:eastAsia="zh-CN"/>
              </w:rPr>
            </w:pPr>
            <w:r>
              <w:rPr>
                <w:rFonts w:ascii="Times New Roman" w:hAnsi="Times New Roman" w:cs="Times New Roman"/>
                <w:color w:val="auto"/>
                <w:sz w:val="21"/>
                <w:szCs w:val="21"/>
              </w:rPr>
              <w:t>儿童父母双方为本市户籍租住类的,提供在租住场所由儿童父母一方姓名缴交的用水、用电、有线电视、固定电话、光纤等其中一项近5年的缴费凭据</w:t>
            </w:r>
            <w:r>
              <w:rPr>
                <w:rFonts w:ascii="Times New Roman" w:hAnsi="Times New Roman" w:cs="Times New Roman"/>
                <w:color w:val="auto"/>
                <w:spacing w:val="15"/>
                <w:sz w:val="21"/>
                <w:szCs w:val="21"/>
              </w:rPr>
              <w:t>(未取得合法产权证明的住宅,可参照租住条件积分）</w:t>
            </w:r>
            <w:r>
              <w:rPr>
                <w:rFonts w:ascii="Times New Roman" w:hAnsi="Times New Roman" w:cs="Times New Roman"/>
                <w:color w:val="auto"/>
                <w:spacing w:val="15"/>
                <w:sz w:val="21"/>
                <w:szCs w:val="21"/>
                <w:lang w:eastAsia="zh-CN"/>
              </w:rPr>
              <w:t>。</w:t>
            </w:r>
          </w:p>
        </w:tc>
      </w:tr>
    </w:tbl>
    <w:tbl>
      <w:tblPr>
        <w:tblStyle w:val="4"/>
        <w:tblpPr w:leftFromText="180" w:rightFromText="180" w:vertAnchor="text" w:horzAnchor="page" w:tblpX="801" w:tblpY="69"/>
        <w:tblOverlap w:val="never"/>
        <w:tblW w:w="0" w:type="auto"/>
        <w:tblInd w:w="0" w:type="dxa"/>
        <w:tblLayout w:type="fixed"/>
        <w:tblCellMar>
          <w:top w:w="0" w:type="dxa"/>
          <w:left w:w="108" w:type="dxa"/>
          <w:bottom w:w="0" w:type="dxa"/>
          <w:right w:w="108" w:type="dxa"/>
        </w:tblCellMar>
      </w:tblPr>
      <w:tblGrid>
        <w:gridCol w:w="1452"/>
        <w:gridCol w:w="1440"/>
        <w:gridCol w:w="720"/>
        <w:gridCol w:w="4680"/>
        <w:gridCol w:w="7313"/>
      </w:tblGrid>
      <w:tr w14:paraId="756C2425">
        <w:tblPrEx>
          <w:tblCellMar>
            <w:top w:w="0" w:type="dxa"/>
            <w:left w:w="108" w:type="dxa"/>
            <w:bottom w:w="0" w:type="dxa"/>
            <w:right w:w="108" w:type="dxa"/>
          </w:tblCellMar>
        </w:tblPrEx>
        <w:trPr>
          <w:trHeight w:val="2175" w:hRule="atLeast"/>
        </w:trPr>
        <w:tc>
          <w:tcPr>
            <w:tcW w:w="1452" w:type="dxa"/>
            <w:vMerge w:val="restart"/>
            <w:tcBorders>
              <w:top w:val="single" w:color="auto" w:sz="4" w:space="0"/>
              <w:left w:val="single" w:color="auto" w:sz="4" w:space="0"/>
              <w:bottom w:val="single" w:color="auto" w:sz="4" w:space="0"/>
              <w:right w:val="single" w:color="auto" w:sz="4" w:space="0"/>
            </w:tcBorders>
            <w:noWrap w:val="0"/>
            <w:vAlign w:val="center"/>
          </w:tcPr>
          <w:p w14:paraId="648472BC">
            <w:pPr>
              <w:spacing w:line="300" w:lineRule="exact"/>
              <w:jc w:val="both"/>
              <w:rPr>
                <w:rFonts w:ascii="Times New Roman" w:hAnsi="Times New Roman" w:cs="Times New Roman"/>
                <w:color w:val="auto"/>
                <w:sz w:val="30"/>
                <w:szCs w:val="30"/>
              </w:rPr>
            </w:pPr>
            <w:r>
              <w:rPr>
                <w:rFonts w:ascii="Times New Roman" w:hAnsi="Times New Roman" w:cs="Times New Roman"/>
                <w:color w:val="auto"/>
                <w:sz w:val="30"/>
                <w:szCs w:val="30"/>
              </w:rPr>
              <w:t>二、稳定职业</w:t>
            </w:r>
          </w:p>
          <w:p w14:paraId="360064B7">
            <w:pPr>
              <w:spacing w:line="300" w:lineRule="exact"/>
              <w:jc w:val="both"/>
              <w:rPr>
                <w:rFonts w:ascii="Times New Roman" w:hAnsi="Times New Roman" w:eastAsia="楷体" w:cs="Times New Roman"/>
                <w:b/>
                <w:color w:val="auto"/>
                <w:sz w:val="24"/>
              </w:rPr>
            </w:pPr>
            <w:r>
              <w:rPr>
                <w:rFonts w:ascii="Times New Roman" w:hAnsi="Times New Roman" w:eastAsia="楷体" w:cs="Times New Roman"/>
                <w:b/>
                <w:color w:val="auto"/>
                <w:sz w:val="24"/>
              </w:rPr>
              <w:t>(在二级指标选其中一项计分)</w:t>
            </w:r>
          </w:p>
        </w:tc>
        <w:tc>
          <w:tcPr>
            <w:tcW w:w="1440" w:type="dxa"/>
            <w:tcBorders>
              <w:top w:val="single" w:color="auto" w:sz="4" w:space="0"/>
              <w:left w:val="nil"/>
              <w:bottom w:val="single" w:color="auto" w:sz="4" w:space="0"/>
              <w:right w:val="single" w:color="auto" w:sz="4" w:space="0"/>
            </w:tcBorders>
            <w:noWrap w:val="0"/>
            <w:vAlign w:val="center"/>
          </w:tcPr>
          <w:p w14:paraId="1F54E3E2">
            <w:pPr>
              <w:spacing w:line="300" w:lineRule="exact"/>
              <w:rPr>
                <w:rFonts w:ascii="Times New Roman" w:hAnsi="Times New Roman" w:cs="Times New Roman"/>
                <w:color w:val="auto"/>
                <w:sz w:val="21"/>
                <w:szCs w:val="21"/>
              </w:rPr>
            </w:pPr>
            <w:r>
              <w:rPr>
                <w:rFonts w:ascii="Times New Roman" w:hAnsi="Times New Roman" w:cs="Times New Roman"/>
                <w:color w:val="auto"/>
                <w:sz w:val="21"/>
                <w:szCs w:val="21"/>
              </w:rPr>
              <w:t>社会养老保险缴费年限</w:t>
            </w:r>
          </w:p>
        </w:tc>
        <w:tc>
          <w:tcPr>
            <w:tcW w:w="720" w:type="dxa"/>
            <w:tcBorders>
              <w:top w:val="single" w:color="auto" w:sz="4" w:space="0"/>
              <w:left w:val="nil"/>
              <w:bottom w:val="single" w:color="auto" w:sz="4" w:space="0"/>
              <w:right w:val="single" w:color="auto" w:sz="4" w:space="0"/>
            </w:tcBorders>
            <w:noWrap w:val="0"/>
            <w:vAlign w:val="center"/>
          </w:tcPr>
          <w:p w14:paraId="32617B40">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4680" w:type="dxa"/>
            <w:tcBorders>
              <w:top w:val="single" w:color="auto" w:sz="4" w:space="0"/>
              <w:left w:val="nil"/>
              <w:bottom w:val="single" w:color="auto" w:sz="4" w:space="0"/>
              <w:right w:val="single" w:color="auto" w:sz="4" w:space="0"/>
            </w:tcBorders>
            <w:noWrap w:val="0"/>
            <w:vAlign w:val="center"/>
          </w:tcPr>
          <w:p w14:paraId="0E2F3813">
            <w:pPr>
              <w:spacing w:line="30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必须从招生报名月份起往回推算连续缴交6个月给6分，不足6个月不给分，超过6个月按每月1分累加计分；5年内累加最高60分。</w:t>
            </w:r>
          </w:p>
        </w:tc>
        <w:tc>
          <w:tcPr>
            <w:tcW w:w="7313" w:type="dxa"/>
            <w:tcBorders>
              <w:top w:val="single" w:color="auto" w:sz="4" w:space="0"/>
              <w:left w:val="nil"/>
              <w:bottom w:val="single" w:color="auto" w:sz="4" w:space="0"/>
              <w:right w:val="single" w:color="auto" w:sz="4" w:space="0"/>
            </w:tcBorders>
            <w:noWrap w:val="0"/>
            <w:vAlign w:val="center"/>
          </w:tcPr>
          <w:p w14:paraId="05929FB4">
            <w:pPr>
              <w:pStyle w:val="2"/>
              <w:spacing w:line="360" w:lineRule="exact"/>
              <w:ind w:firstLine="420" w:firstLineChars="200"/>
              <w:jc w:val="both"/>
              <w:rPr>
                <w:rFonts w:ascii="Times New Roman" w:hAnsi="Times New Roman" w:cs="Times New Roman"/>
                <w:color w:val="auto"/>
                <w:sz w:val="21"/>
                <w:szCs w:val="21"/>
              </w:rPr>
            </w:pPr>
            <w:r>
              <w:rPr>
                <w:rFonts w:ascii="Times New Roman" w:hAnsi="Times New Roman" w:eastAsia="Arial" w:cs="Times New Roman"/>
                <w:color w:val="auto"/>
                <w:sz w:val="21"/>
                <w:szCs w:val="21"/>
              </w:rPr>
              <w:t>儿童父或母在小学招生地段范围内</w:t>
            </w:r>
            <w:r>
              <w:rPr>
                <w:rFonts w:ascii="Times New Roman" w:hAnsi="Times New Roman" w:eastAsia="Arial" w:cs="Times New Roman"/>
                <w:color w:val="auto"/>
                <w:sz w:val="21"/>
                <w:szCs w:val="21"/>
                <w:lang w:eastAsia="zh-CN"/>
              </w:rPr>
              <w:t>居住（务工），能提供</w:t>
            </w:r>
            <w:r>
              <w:rPr>
                <w:rFonts w:ascii="Times New Roman" w:hAnsi="Times New Roman" w:eastAsia="Arial" w:cs="Times New Roman"/>
                <w:color w:val="auto"/>
                <w:sz w:val="21"/>
                <w:szCs w:val="21"/>
              </w:rPr>
              <w:t>由罗定市社保局出具的儿童父或母（或监护人）社会养老保险个人账户对账单</w:t>
            </w:r>
            <w:r>
              <w:rPr>
                <w:rFonts w:ascii="Times New Roman" w:hAnsi="Times New Roman" w:eastAsia="Arial" w:cs="Times New Roman"/>
                <w:color w:val="auto"/>
                <w:sz w:val="21"/>
                <w:szCs w:val="21"/>
                <w:lang w:eastAsia="zh-CN"/>
              </w:rPr>
              <w:t>，</w:t>
            </w:r>
            <w:r>
              <w:rPr>
                <w:rFonts w:ascii="Times New Roman" w:hAnsi="Times New Roman" w:eastAsia="Arial" w:cs="Times New Roman"/>
                <w:color w:val="auto"/>
                <w:sz w:val="21"/>
                <w:szCs w:val="21"/>
              </w:rPr>
              <w:t>当年招生报名月份</w:t>
            </w:r>
            <w:r>
              <w:rPr>
                <w:rFonts w:ascii="Times New Roman" w:hAnsi="Times New Roman" w:eastAsia="Arial" w:cs="Times New Roman"/>
                <w:color w:val="auto"/>
                <w:sz w:val="21"/>
                <w:szCs w:val="21"/>
                <w:lang w:eastAsia="zh-CN"/>
              </w:rPr>
              <w:t>满6个月开始计算，最多计算5年的时间</w:t>
            </w:r>
            <w:r>
              <w:rPr>
                <w:rFonts w:ascii="Times New Roman" w:hAnsi="Times New Roman" w:eastAsia="Arial" w:cs="Times New Roman"/>
                <w:color w:val="auto"/>
                <w:sz w:val="21"/>
                <w:szCs w:val="21"/>
              </w:rPr>
              <w:t>。如果提供广东省、云浮市直社会养老保险缴费证件的，其服务（工作）单位必须是在</w:t>
            </w:r>
            <w:r>
              <w:rPr>
                <w:rFonts w:ascii="Times New Roman" w:hAnsi="Times New Roman" w:eastAsia="Arial" w:cs="Times New Roman"/>
                <w:color w:val="auto"/>
                <w:sz w:val="21"/>
                <w:szCs w:val="21"/>
                <w:lang w:eastAsia="zh-CN"/>
              </w:rPr>
              <w:t>罗定市区域范围内。</w:t>
            </w:r>
          </w:p>
        </w:tc>
      </w:tr>
      <w:tr w14:paraId="53F55E38">
        <w:tblPrEx>
          <w:tblCellMar>
            <w:top w:w="0" w:type="dxa"/>
            <w:left w:w="108" w:type="dxa"/>
            <w:bottom w:w="0" w:type="dxa"/>
            <w:right w:w="108" w:type="dxa"/>
          </w:tblCellMar>
        </w:tblPrEx>
        <w:trPr>
          <w:trHeight w:val="1890" w:hRule="atLeast"/>
        </w:trPr>
        <w:tc>
          <w:tcPr>
            <w:tcW w:w="1452" w:type="dxa"/>
            <w:vMerge w:val="continue"/>
            <w:tcBorders>
              <w:top w:val="nil"/>
              <w:left w:val="single" w:color="auto" w:sz="4" w:space="0"/>
              <w:bottom w:val="single" w:color="auto" w:sz="4" w:space="0"/>
              <w:right w:val="single" w:color="auto" w:sz="4" w:space="0"/>
            </w:tcBorders>
            <w:noWrap w:val="0"/>
            <w:vAlign w:val="center"/>
          </w:tcPr>
          <w:p w14:paraId="57A1888F">
            <w:pPr>
              <w:spacing w:line="300" w:lineRule="exact"/>
              <w:ind w:firstLine="480"/>
              <w:rPr>
                <w:rFonts w:ascii="Times New Roman" w:hAnsi="Times New Roman" w:cs="Times New Roman"/>
                <w:color w:val="auto"/>
                <w:sz w:val="24"/>
              </w:rPr>
            </w:pPr>
          </w:p>
        </w:tc>
        <w:tc>
          <w:tcPr>
            <w:tcW w:w="1440" w:type="dxa"/>
            <w:tcBorders>
              <w:top w:val="nil"/>
              <w:left w:val="nil"/>
              <w:bottom w:val="single" w:color="auto" w:sz="4" w:space="0"/>
              <w:right w:val="single" w:color="auto" w:sz="4" w:space="0"/>
            </w:tcBorders>
            <w:noWrap w:val="0"/>
            <w:vAlign w:val="center"/>
          </w:tcPr>
          <w:p w14:paraId="76E64246">
            <w:pPr>
              <w:spacing w:line="300" w:lineRule="exact"/>
              <w:ind w:firstLine="210" w:firstLineChars="100"/>
              <w:jc w:val="both"/>
              <w:rPr>
                <w:rFonts w:ascii="Times New Roman" w:hAnsi="Times New Roman" w:cs="Times New Roman"/>
                <w:color w:val="auto"/>
                <w:sz w:val="21"/>
                <w:szCs w:val="21"/>
              </w:rPr>
            </w:pPr>
            <w:r>
              <w:rPr>
                <w:rFonts w:ascii="Times New Roman" w:hAnsi="Times New Roman" w:cs="Times New Roman"/>
                <w:color w:val="auto"/>
                <w:sz w:val="21"/>
                <w:szCs w:val="21"/>
              </w:rPr>
              <w:t>经营证明</w:t>
            </w:r>
          </w:p>
        </w:tc>
        <w:tc>
          <w:tcPr>
            <w:tcW w:w="720" w:type="dxa"/>
            <w:tcBorders>
              <w:top w:val="nil"/>
              <w:left w:val="nil"/>
              <w:bottom w:val="single" w:color="auto" w:sz="4" w:space="0"/>
              <w:right w:val="single" w:color="auto" w:sz="4" w:space="0"/>
            </w:tcBorders>
            <w:noWrap w:val="0"/>
            <w:vAlign w:val="center"/>
          </w:tcPr>
          <w:p w14:paraId="4B46DEDC">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4680" w:type="dxa"/>
            <w:tcBorders>
              <w:top w:val="nil"/>
              <w:left w:val="nil"/>
              <w:bottom w:val="single" w:color="auto" w:sz="4" w:space="0"/>
              <w:right w:val="single" w:color="auto" w:sz="4" w:space="0"/>
            </w:tcBorders>
            <w:noWrap w:val="0"/>
            <w:vAlign w:val="center"/>
          </w:tcPr>
          <w:p w14:paraId="3E55A016">
            <w:pPr>
              <w:spacing w:line="30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必须从招生报名月份起往回推算，连续满6个月给3分，不足6个月不给分，超过6个月的按每月0.5分累加，5年内累加最高30分。</w:t>
            </w:r>
          </w:p>
        </w:tc>
        <w:tc>
          <w:tcPr>
            <w:tcW w:w="7313" w:type="dxa"/>
            <w:tcBorders>
              <w:top w:val="nil"/>
              <w:left w:val="nil"/>
              <w:bottom w:val="single" w:color="auto" w:sz="4" w:space="0"/>
              <w:right w:val="single" w:color="auto" w:sz="4" w:space="0"/>
            </w:tcBorders>
            <w:noWrap w:val="0"/>
            <w:vAlign w:val="center"/>
          </w:tcPr>
          <w:p w14:paraId="37B2B334">
            <w:pPr>
              <w:spacing w:line="30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提供当年招生报名月份往回推算的连续6个月以上的有效期内的工商营业执照或民办非企业登记证（经营单位的地址必须是在报读</w:t>
            </w:r>
            <w:r>
              <w:rPr>
                <w:rFonts w:ascii="Times New Roman" w:hAnsi="Times New Roman" w:cs="Times New Roman"/>
                <w:color w:val="auto"/>
                <w:sz w:val="21"/>
                <w:szCs w:val="21"/>
                <w:lang w:eastAsia="zh-CN"/>
              </w:rPr>
              <w:t>小</w:t>
            </w:r>
            <w:r>
              <w:rPr>
                <w:rFonts w:ascii="Times New Roman" w:hAnsi="Times New Roman" w:cs="Times New Roman"/>
                <w:color w:val="auto"/>
                <w:sz w:val="21"/>
                <w:szCs w:val="21"/>
              </w:rPr>
              <w:t xml:space="preserve">学招生范围内或学校驻地所属街道内）。 </w:t>
            </w:r>
          </w:p>
        </w:tc>
      </w:tr>
      <w:tr w14:paraId="79008678">
        <w:tblPrEx>
          <w:tblCellMar>
            <w:top w:w="0" w:type="dxa"/>
            <w:left w:w="108" w:type="dxa"/>
            <w:bottom w:w="0" w:type="dxa"/>
            <w:right w:w="108" w:type="dxa"/>
          </w:tblCellMar>
        </w:tblPrEx>
        <w:trPr>
          <w:trHeight w:val="2175" w:hRule="atLeast"/>
        </w:trPr>
        <w:tc>
          <w:tcPr>
            <w:tcW w:w="1452" w:type="dxa"/>
            <w:vMerge w:val="restart"/>
            <w:tcBorders>
              <w:top w:val="nil"/>
              <w:left w:val="single" w:color="auto" w:sz="4" w:space="0"/>
              <w:bottom w:val="single" w:color="auto" w:sz="4" w:space="0"/>
              <w:right w:val="single" w:color="auto" w:sz="4" w:space="0"/>
            </w:tcBorders>
            <w:noWrap w:val="0"/>
            <w:vAlign w:val="center"/>
          </w:tcPr>
          <w:p w14:paraId="36A3F8DD">
            <w:pPr>
              <w:numPr>
                <w:ilvl w:val="0"/>
                <w:numId w:val="1"/>
              </w:numPr>
              <w:spacing w:line="300" w:lineRule="exact"/>
              <w:jc w:val="both"/>
              <w:rPr>
                <w:rFonts w:ascii="Times New Roman" w:hAnsi="Times New Roman" w:cs="Times New Roman"/>
                <w:color w:val="auto"/>
                <w:sz w:val="30"/>
                <w:szCs w:val="30"/>
              </w:rPr>
            </w:pPr>
            <w:r>
              <w:rPr>
                <w:rFonts w:ascii="Times New Roman" w:hAnsi="Times New Roman" w:cs="Times New Roman"/>
                <w:color w:val="auto"/>
                <w:sz w:val="30"/>
                <w:szCs w:val="30"/>
              </w:rPr>
              <w:t>地方贡献</w:t>
            </w:r>
          </w:p>
          <w:p w14:paraId="3B550CBC">
            <w:pPr>
              <w:spacing w:line="300" w:lineRule="exact"/>
              <w:jc w:val="both"/>
              <w:rPr>
                <w:rFonts w:ascii="Times New Roman" w:hAnsi="Times New Roman" w:cs="Times New Roman"/>
                <w:color w:val="auto"/>
                <w:sz w:val="30"/>
                <w:szCs w:val="30"/>
              </w:rPr>
            </w:pPr>
            <w:r>
              <w:rPr>
                <w:rFonts w:ascii="Times New Roman" w:hAnsi="Times New Roman" w:eastAsia="楷体" w:cs="Times New Roman"/>
                <w:b/>
                <w:color w:val="auto"/>
                <w:sz w:val="24"/>
              </w:rPr>
              <w:t>(在二级指标选其中一项计分)</w:t>
            </w:r>
          </w:p>
        </w:tc>
        <w:tc>
          <w:tcPr>
            <w:tcW w:w="1440" w:type="dxa"/>
            <w:tcBorders>
              <w:top w:val="nil"/>
              <w:left w:val="nil"/>
              <w:bottom w:val="single" w:color="auto" w:sz="4" w:space="0"/>
              <w:right w:val="single" w:color="auto" w:sz="4" w:space="0"/>
            </w:tcBorders>
            <w:noWrap w:val="0"/>
            <w:vAlign w:val="center"/>
          </w:tcPr>
          <w:p w14:paraId="712D75EB">
            <w:pPr>
              <w:spacing w:line="300" w:lineRule="exact"/>
              <w:rPr>
                <w:rFonts w:ascii="Times New Roman" w:hAnsi="Times New Roman" w:eastAsia="FangSong_GB2312" w:cs="Times New Roman"/>
                <w:color w:val="auto"/>
                <w:sz w:val="21"/>
                <w:szCs w:val="21"/>
              </w:rPr>
            </w:pPr>
            <w:r>
              <w:rPr>
                <w:rFonts w:ascii="Times New Roman" w:hAnsi="Times New Roman" w:cs="Times New Roman"/>
                <w:color w:val="auto"/>
                <w:sz w:val="21"/>
                <w:szCs w:val="21"/>
              </w:rPr>
              <w:t>儿童</w:t>
            </w:r>
            <w:r>
              <w:rPr>
                <w:rFonts w:ascii="Times New Roman" w:hAnsi="Times New Roman" w:cs="Times New Roman"/>
                <w:color w:val="auto"/>
                <w:sz w:val="21"/>
                <w:szCs w:val="21"/>
                <w:lang w:eastAsia="zh-CN"/>
              </w:rPr>
              <w:t>父或母被认定为“百千万工程”互助工作队星级志愿者</w:t>
            </w:r>
          </w:p>
        </w:tc>
        <w:tc>
          <w:tcPr>
            <w:tcW w:w="720" w:type="dxa"/>
            <w:tcBorders>
              <w:top w:val="nil"/>
              <w:left w:val="nil"/>
              <w:bottom w:val="single" w:color="auto" w:sz="4" w:space="0"/>
              <w:right w:val="single" w:color="auto" w:sz="4" w:space="0"/>
            </w:tcBorders>
            <w:noWrap w:val="0"/>
            <w:vAlign w:val="center"/>
          </w:tcPr>
          <w:p w14:paraId="2C56A086">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lang w:eastAsia="zh-CN"/>
              </w:rPr>
              <w:t>20</w:t>
            </w:r>
          </w:p>
        </w:tc>
        <w:tc>
          <w:tcPr>
            <w:tcW w:w="4680" w:type="dxa"/>
            <w:tcBorders>
              <w:top w:val="nil"/>
              <w:left w:val="nil"/>
              <w:bottom w:val="single" w:color="auto" w:sz="4" w:space="0"/>
              <w:right w:val="single" w:color="auto" w:sz="4" w:space="0"/>
            </w:tcBorders>
            <w:noWrap w:val="0"/>
            <w:vAlign w:val="center"/>
          </w:tcPr>
          <w:p w14:paraId="4E5AF3AB">
            <w:pPr>
              <w:spacing w:line="300" w:lineRule="exact"/>
              <w:ind w:firstLine="480"/>
              <w:jc w:val="both"/>
              <w:rPr>
                <w:rFonts w:ascii="Times New Roman" w:hAnsi="Times New Roman" w:eastAsia="FangSong_GB2312" w:cs="Times New Roman"/>
                <w:b/>
                <w:bCs/>
                <w:color w:val="auto"/>
                <w:sz w:val="21"/>
                <w:szCs w:val="21"/>
              </w:rPr>
            </w:pPr>
            <w:r>
              <w:rPr>
                <w:rFonts w:ascii="Times New Roman" w:hAnsi="Times New Roman" w:cs="Times New Roman"/>
                <w:color w:val="auto"/>
                <w:sz w:val="21"/>
                <w:szCs w:val="21"/>
                <w:lang w:eastAsia="zh-CN"/>
              </w:rPr>
              <w:t>儿童父母双方或单方被认定为“百千万工程”互助工作队星级志愿者最高可获得20分（一星志愿者得4分，二星志愿者得8分，三星志愿者得12分，四星志愿者得16分，五星志愿者得20分。）</w:t>
            </w:r>
          </w:p>
        </w:tc>
        <w:tc>
          <w:tcPr>
            <w:tcW w:w="7313" w:type="dxa"/>
            <w:tcBorders>
              <w:top w:val="nil"/>
              <w:left w:val="nil"/>
              <w:bottom w:val="single" w:color="auto" w:sz="4" w:space="0"/>
              <w:right w:val="single" w:color="auto" w:sz="4" w:space="0"/>
            </w:tcBorders>
            <w:noWrap w:val="0"/>
            <w:vAlign w:val="center"/>
          </w:tcPr>
          <w:p w14:paraId="49B8D275">
            <w:pPr>
              <w:spacing w:line="300" w:lineRule="exact"/>
              <w:ind w:firstLine="480"/>
              <w:jc w:val="both"/>
              <w:rPr>
                <w:rFonts w:ascii="Times New Roman" w:hAnsi="Times New Roman" w:eastAsia="FangSong_GB2312" w:cs="Times New Roman"/>
                <w:color w:val="auto"/>
                <w:spacing w:val="15"/>
                <w:sz w:val="21"/>
                <w:szCs w:val="21"/>
                <w:lang w:eastAsia="zh-CN"/>
              </w:rPr>
            </w:pPr>
            <w:r>
              <w:rPr>
                <w:rFonts w:ascii="Times New Roman" w:hAnsi="Times New Roman" w:cs="Times New Roman"/>
                <w:color w:val="auto"/>
                <w:sz w:val="21"/>
                <w:szCs w:val="21"/>
                <w:lang w:eastAsia="zh-CN"/>
              </w:rPr>
              <w:t>i志愿系统上显示的互助工作队星级和服务时长的截图</w:t>
            </w:r>
          </w:p>
        </w:tc>
      </w:tr>
      <w:tr w14:paraId="127F7DA4">
        <w:tblPrEx>
          <w:tblCellMar>
            <w:top w:w="0" w:type="dxa"/>
            <w:left w:w="108" w:type="dxa"/>
            <w:bottom w:w="0" w:type="dxa"/>
            <w:right w:w="108" w:type="dxa"/>
          </w:tblCellMar>
        </w:tblPrEx>
        <w:trPr>
          <w:trHeight w:val="2580" w:hRule="atLeast"/>
        </w:trPr>
        <w:tc>
          <w:tcPr>
            <w:tcW w:w="1452" w:type="dxa"/>
            <w:vMerge w:val="continue"/>
            <w:tcBorders>
              <w:top w:val="single" w:color="auto" w:sz="4" w:space="0"/>
              <w:left w:val="single" w:color="auto" w:sz="4" w:space="0"/>
              <w:bottom w:val="single" w:color="auto" w:sz="4" w:space="0"/>
              <w:right w:val="single" w:color="auto" w:sz="4" w:space="0"/>
            </w:tcBorders>
            <w:noWrap w:val="0"/>
            <w:vAlign w:val="center"/>
          </w:tcPr>
          <w:p w14:paraId="1BEF34CC">
            <w:pPr>
              <w:spacing w:line="300" w:lineRule="exact"/>
              <w:jc w:val="both"/>
              <w:rPr>
                <w:rFonts w:ascii="Times New Roman" w:hAnsi="Times New Roman" w:cs="Times New Roman"/>
                <w:color w:val="auto"/>
                <w:sz w:val="30"/>
                <w:szCs w:val="30"/>
              </w:rPr>
            </w:pPr>
          </w:p>
        </w:tc>
        <w:tc>
          <w:tcPr>
            <w:tcW w:w="1440" w:type="dxa"/>
            <w:tcBorders>
              <w:top w:val="single" w:color="auto" w:sz="4" w:space="0"/>
              <w:left w:val="nil"/>
              <w:bottom w:val="single" w:color="auto" w:sz="4" w:space="0"/>
              <w:right w:val="single" w:color="auto" w:sz="4" w:space="0"/>
            </w:tcBorders>
            <w:noWrap w:val="0"/>
            <w:vAlign w:val="center"/>
          </w:tcPr>
          <w:p w14:paraId="0ED2D861">
            <w:pPr>
              <w:spacing w:line="300" w:lineRule="exact"/>
              <w:rPr>
                <w:rFonts w:ascii="Times New Roman" w:hAnsi="Times New Roman" w:cs="Times New Roman"/>
                <w:color w:val="auto"/>
                <w:sz w:val="21"/>
                <w:szCs w:val="21"/>
              </w:rPr>
            </w:pPr>
            <w:r>
              <w:rPr>
                <w:rFonts w:ascii="Times New Roman" w:hAnsi="Times New Roman" w:cs="Times New Roman"/>
                <w:color w:val="auto"/>
                <w:sz w:val="21"/>
                <w:szCs w:val="21"/>
              </w:rPr>
              <w:t>儿童父或母在报读小学驻地所属街道内经商办企业（或个体工商户）累计纳税额</w:t>
            </w:r>
          </w:p>
        </w:tc>
        <w:tc>
          <w:tcPr>
            <w:tcW w:w="720" w:type="dxa"/>
            <w:tcBorders>
              <w:top w:val="single" w:color="auto" w:sz="4" w:space="0"/>
              <w:left w:val="nil"/>
              <w:bottom w:val="single" w:color="auto" w:sz="4" w:space="0"/>
              <w:right w:val="single" w:color="auto" w:sz="4" w:space="0"/>
            </w:tcBorders>
            <w:noWrap w:val="0"/>
            <w:vAlign w:val="center"/>
          </w:tcPr>
          <w:p w14:paraId="19AB8E27">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80</w:t>
            </w:r>
          </w:p>
        </w:tc>
        <w:tc>
          <w:tcPr>
            <w:tcW w:w="4680" w:type="dxa"/>
            <w:tcBorders>
              <w:top w:val="single" w:color="auto" w:sz="4" w:space="0"/>
              <w:left w:val="nil"/>
              <w:bottom w:val="single" w:color="auto" w:sz="4" w:space="0"/>
              <w:right w:val="single" w:color="auto" w:sz="4" w:space="0"/>
            </w:tcBorders>
            <w:noWrap w:val="0"/>
            <w:vAlign w:val="center"/>
          </w:tcPr>
          <w:p w14:paraId="7CD7844C">
            <w:pPr>
              <w:spacing w:line="30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近5年内累计纳税额5至200万元（或以上），每5万元计2分，累加最高得80 分。</w:t>
            </w:r>
          </w:p>
        </w:tc>
        <w:tc>
          <w:tcPr>
            <w:tcW w:w="7313" w:type="dxa"/>
            <w:tcBorders>
              <w:top w:val="single" w:color="auto" w:sz="4" w:space="0"/>
              <w:left w:val="nil"/>
              <w:bottom w:val="single" w:color="auto" w:sz="4" w:space="0"/>
              <w:right w:val="single" w:color="auto" w:sz="4" w:space="0"/>
            </w:tcBorders>
            <w:noWrap w:val="0"/>
            <w:vAlign w:val="center"/>
          </w:tcPr>
          <w:p w14:paraId="508B2568">
            <w:pPr>
              <w:spacing w:line="300" w:lineRule="exact"/>
              <w:ind w:firstLine="480"/>
              <w:jc w:val="both"/>
              <w:rPr>
                <w:rFonts w:ascii="Times New Roman" w:hAnsi="Times New Roman" w:cs="Times New Roman"/>
                <w:color w:val="auto"/>
                <w:sz w:val="21"/>
                <w:szCs w:val="21"/>
              </w:rPr>
            </w:pPr>
            <w:r>
              <w:rPr>
                <w:rFonts w:ascii="Times New Roman" w:hAnsi="Times New Roman" w:cs="Times New Roman"/>
                <w:color w:val="auto"/>
                <w:sz w:val="21"/>
                <w:szCs w:val="21"/>
              </w:rPr>
              <w:t>提供税务部门出具的纳税证明。</w:t>
            </w:r>
          </w:p>
        </w:tc>
      </w:tr>
    </w:tbl>
    <w:p w14:paraId="2687466B">
      <w:pPr>
        <w:ind w:firstLine="640"/>
        <w:rPr>
          <w:rFonts w:ascii="Times New Roman" w:hAnsi="Times New Roman" w:cs="Times New Roman"/>
          <w:color w:val="auto"/>
        </w:rPr>
      </w:pPr>
    </w:p>
    <w:p w14:paraId="63C0C4C9"/>
    <w:sectPr>
      <w:pgSz w:w="16838" w:h="11906" w:orient="landscape"/>
      <w:pgMar w:top="1800" w:right="1440" w:bottom="26"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6F967"/>
    <w:multiLevelType w:val="singleLevel"/>
    <w:tmpl w:val="C8B6F96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B159C"/>
    <w:rsid w:val="699B1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FangSong_GB2312" w:hAnsi="FangSong_GB2312" w:eastAsia="FangSong_GB2312" w:cs="FangSong_GB2312"/>
      <w:sz w:val="31"/>
      <w:szCs w:val="31"/>
      <w:lang w:val="en-US" w:eastAsia="en-US"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customStyle="1" w:styleId="6">
    <w:name w:val="普通(网站) New New New New"/>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2026-07-03T07:28:00Z</dcterms:created>
  <dc:creator>辛燕</dc:creator>
  <cp:lastModifiedBy>辛燕</cp:lastModifiedBy>
  <dcterms:modified xsi:type="dcterms:W3CDTF">2026-07-03T07:29:33Z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07EA2194A2BD45379447F2C36C6F7559_11</vt:lpwstr>
  </property>
  <property fmtid="{D5CDD505-2E9C-101B-9397-08002B2CF9AE}" pid="4" name="KSOTemplateDocerSaveRecord">
    <vt:lpwstr>eyJoZGlkIjoiMmEyOGRlOTQ4YjgzZDY5NjdjYWYxODRkZTk4ZTE1MDQiLCJ1c2VySWQiOiI0MzA0NTgyOTEifQ==</vt:lpwstr>
  </property>
</Properties>
</file>