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AD4130D">
      <w:pPr>
        <w:pageBreakBefore w:val="0"/>
        <w:widowControl w:val="0"/>
        <w:kinsoku/>
        <w:wordWrap/>
        <w:overflowPunct/>
        <w:topLinePunct w:val="0"/>
        <w:autoSpaceDE/>
        <w:autoSpaceDN/>
        <w:bidi w:val="0"/>
        <w:adjustRightInd/>
        <w:snapToGrid/>
        <w:spacing w:line="600" w:lineRule="exact"/>
        <w:ind w:firstLine="0" w:firstLineChars="0"/>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val="en-US" w:eastAsia="zh-CN"/>
        </w:rPr>
        <w:t>罗定市</w:t>
      </w:r>
      <w:r>
        <w:rPr>
          <w:rFonts w:hint="eastAsia" w:ascii="方正小标宋简体" w:hAnsi="方正小标宋简体" w:eastAsia="方正小标宋简体" w:cs="方正小标宋简体"/>
          <w:sz w:val="44"/>
          <w:szCs w:val="44"/>
        </w:rPr>
        <w:t>国民经济和社会发展</w:t>
      </w:r>
    </w:p>
    <w:p w14:paraId="3EBDA441">
      <w:pPr>
        <w:pageBreakBefore w:val="0"/>
        <w:widowControl w:val="0"/>
        <w:kinsoku/>
        <w:wordWrap/>
        <w:overflowPunct/>
        <w:topLinePunct w:val="0"/>
        <w:autoSpaceDE/>
        <w:autoSpaceDN/>
        <w:bidi w:val="0"/>
        <w:adjustRightInd/>
        <w:snapToGrid/>
        <w:spacing w:line="600" w:lineRule="exact"/>
        <w:ind w:firstLine="0" w:firstLineChars="0"/>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rPr>
        <w:t>第十五个五年规划</w:t>
      </w:r>
      <w:r>
        <w:rPr>
          <w:rFonts w:hint="eastAsia" w:ascii="方正小标宋简体" w:hAnsi="方正小标宋简体" w:eastAsia="方正小标宋简体" w:cs="方正小标宋简体"/>
          <w:sz w:val="44"/>
          <w:szCs w:val="44"/>
          <w:lang w:val="en-US" w:eastAsia="zh-CN"/>
        </w:rPr>
        <w:t>纲要</w:t>
      </w:r>
    </w:p>
    <w:p w14:paraId="78D089D0">
      <w:pPr>
        <w:pStyle w:val="2"/>
        <w:pageBreakBefore w:val="0"/>
        <w:widowControl w:val="0"/>
        <w:kinsoku/>
        <w:wordWrap/>
        <w:overflowPunct/>
        <w:topLinePunct w:val="0"/>
        <w:autoSpaceDE/>
        <w:autoSpaceDN/>
        <w:bidi w:val="0"/>
        <w:adjustRightInd/>
        <w:snapToGrid/>
        <w:spacing w:line="600" w:lineRule="exact"/>
        <w:ind w:left="0" w:leftChars="0" w:firstLine="0" w:firstLineChars="0"/>
        <w:jc w:val="center"/>
        <w:textAlignment w:val="auto"/>
        <w:rPr>
          <w:rFonts w:hint="eastAsia" w:ascii="楷体_GB2312" w:hAnsi="楷体_GB2312" w:eastAsia="楷体_GB2312" w:cs="楷体_GB2312"/>
          <w:b w:val="0"/>
          <w:bCs/>
          <w:sz w:val="40"/>
          <w:szCs w:val="40"/>
          <w:lang w:val="en-US" w:eastAsia="zh-CN"/>
        </w:rPr>
      </w:pPr>
      <w:r>
        <w:rPr>
          <w:rFonts w:hint="eastAsia" w:ascii="楷体_GB2312" w:hAnsi="楷体_GB2312" w:eastAsia="楷体_GB2312" w:cs="楷体_GB2312"/>
          <w:b w:val="0"/>
          <w:bCs/>
          <w:sz w:val="40"/>
          <w:szCs w:val="40"/>
          <w:lang w:val="en-US" w:eastAsia="zh-CN"/>
        </w:rPr>
        <w:t>（草案）</w:t>
      </w:r>
    </w:p>
    <w:p w14:paraId="41B554F1">
      <w:pPr>
        <w:keepNext w:val="0"/>
        <w:keepLines w:val="0"/>
        <w:pageBreakBefore w:val="0"/>
        <w:widowControl w:val="0"/>
        <w:suppressLineNumbers w:val="0"/>
        <w:kinsoku/>
        <w:wordWrap/>
        <w:overflowPunct/>
        <w:topLinePunct w:val="0"/>
        <w:autoSpaceDE/>
        <w:autoSpaceDN/>
        <w:bidi w:val="0"/>
        <w:adjustRightInd/>
        <w:ind w:left="0" w:leftChars="0" w:firstLine="0" w:firstLineChars="0"/>
        <w:jc w:val="left"/>
        <w:textAlignment w:val="auto"/>
        <w:rPr>
          <w:rFonts w:ascii="Times New Roman" w:hAnsi="Times New Roman" w:cs="Times New Roman"/>
          <w:color w:val="auto"/>
          <w:sz w:val="32"/>
          <w:szCs w:val="20"/>
        </w:rPr>
      </w:pPr>
      <w:bookmarkStart w:id="0" w:name="_Toc201760783"/>
    </w:p>
    <w:bookmarkEnd w:id="0"/>
    <w:p w14:paraId="25A6FC78">
      <w:pPr>
        <w:pStyle w:val="3"/>
        <w:pageBreakBefore w:val="0"/>
        <w:widowControl w:val="0"/>
        <w:kinsoku/>
        <w:wordWrap/>
        <w:overflowPunct/>
        <w:topLinePunct w:val="0"/>
        <w:autoSpaceDE/>
        <w:autoSpaceDN/>
        <w:bidi w:val="0"/>
        <w:adjustRightInd/>
        <w:ind w:firstLine="640" w:firstLineChars="200"/>
        <w:jc w:val="both"/>
        <w:textAlignment w:val="auto"/>
        <w:rPr>
          <w:rFonts w:hint="eastAsia"/>
          <w:lang w:eastAsia="zh-CN"/>
        </w:rPr>
      </w:pPr>
      <w:bookmarkStart w:id="1" w:name="_Toc28792"/>
      <w:r>
        <w:rPr>
          <w:rFonts w:hint="eastAsia"/>
          <w:lang w:val="en-US" w:eastAsia="zh-CN"/>
        </w:rPr>
        <w:t>一、</w:t>
      </w:r>
      <w:r>
        <w:rPr>
          <w:rFonts w:hint="eastAsia"/>
        </w:rPr>
        <w:t>发展基础</w:t>
      </w:r>
      <w:bookmarkEnd w:id="1"/>
    </w:p>
    <w:p w14:paraId="401A367A">
      <w:pPr>
        <w:pageBreakBefore w:val="0"/>
        <w:widowControl w:val="0"/>
        <w:kinsoku/>
        <w:wordWrap/>
        <w:overflowPunct/>
        <w:topLinePunct w:val="0"/>
        <w:autoSpaceDE/>
        <w:autoSpaceDN/>
        <w:bidi w:val="0"/>
        <w:adjustRightInd/>
        <w:textAlignment w:val="auto"/>
        <w:rPr>
          <w:rFonts w:hint="eastAsia"/>
        </w:rPr>
      </w:pPr>
      <w:bookmarkStart w:id="2" w:name="_Toc201760784"/>
      <w:r>
        <w:rPr>
          <w:rFonts w:hint="eastAsia"/>
        </w:rPr>
        <w:t>“十四五”</w:t>
      </w:r>
      <w:r>
        <w:rPr>
          <w:rFonts w:hint="eastAsia"/>
          <w:lang w:val="en-US" w:eastAsia="zh-CN"/>
        </w:rPr>
        <w:t>时期</w:t>
      </w:r>
      <w:r>
        <w:rPr>
          <w:rFonts w:hint="eastAsia"/>
        </w:rPr>
        <w:t>，面对</w:t>
      </w:r>
      <w:r>
        <w:rPr>
          <w:rFonts w:hint="eastAsia"/>
          <w:lang w:val="en-US" w:eastAsia="zh-CN"/>
        </w:rPr>
        <w:t>错综复杂</w:t>
      </w:r>
      <w:r>
        <w:rPr>
          <w:rFonts w:hint="eastAsia"/>
        </w:rPr>
        <w:t>的宏观环境和多重风险挑战，在市委、市政府的坚强领导下，全市上下凝心聚力，攻坚克难，紧紧围绕高质量发展首要任务，积极融入国家和省、市发展大局，</w:t>
      </w:r>
      <w:r>
        <w:rPr>
          <w:rFonts w:hint="eastAsia"/>
          <w:lang w:val="en-US" w:eastAsia="zh-CN"/>
        </w:rPr>
        <w:t>基本完成</w:t>
      </w:r>
      <w:r>
        <w:rPr>
          <w:rFonts w:hint="eastAsia"/>
        </w:rPr>
        <w:t>“十四五”规划确定的主要目标任务，经济社会保持平稳健康发展</w:t>
      </w:r>
      <w:r>
        <w:rPr>
          <w:rFonts w:hint="eastAsia"/>
          <w:lang w:eastAsia="zh-CN"/>
        </w:rPr>
        <w:t>，</w:t>
      </w:r>
      <w:r>
        <w:rPr>
          <w:rFonts w:hint="eastAsia"/>
        </w:rPr>
        <w:t>“东融西联”枢纽门户建设取得阶段性重大成果，为“十五五”发展奠定了坚实基础</w:t>
      </w:r>
      <w:r>
        <w:rPr>
          <w:rFonts w:hint="eastAsia"/>
          <w:lang w:eastAsia="zh-CN"/>
        </w:rPr>
        <w:t>。</w:t>
      </w:r>
      <w:bookmarkEnd w:id="2"/>
      <w:bookmarkStart w:id="3" w:name="_Toc201760797"/>
      <w:r>
        <w:rPr>
          <w:rFonts w:hint="eastAsia"/>
          <w:b/>
          <w:bCs/>
        </w:rPr>
        <w:t>经济实力稳步增强</w:t>
      </w:r>
      <w:r>
        <w:rPr>
          <w:rFonts w:hint="eastAsia"/>
          <w:b/>
          <w:bCs/>
          <w:lang w:eastAsia="zh-CN"/>
        </w:rPr>
        <w:t>。</w:t>
      </w:r>
      <w:r>
        <w:rPr>
          <w:rFonts w:hint="default" w:ascii="Times New Roman" w:hAnsi="Times New Roman" w:eastAsia="仿宋_GB2312" w:cs="Times New Roman"/>
          <w:spacing w:val="0"/>
          <w:sz w:val="32"/>
          <w:szCs w:val="32"/>
          <w:lang w:val="en-US" w:eastAsia="zh-CN"/>
        </w:rPr>
        <w:t>全市地区生产总值预计将超370亿元，电子信息、贵金属、日用轻工、生物医药等六大主导产业总产值突破200亿元，金业贵金属等3家企业入选广东制造业企业500强，全市市场主体数量超4.9万户、同比增长4.37%</w:t>
      </w:r>
      <w:r>
        <w:rPr>
          <w:rFonts w:hint="eastAsia"/>
          <w:lang w:eastAsia="zh-CN"/>
        </w:rPr>
        <w:t>。</w:t>
      </w:r>
      <w:bookmarkStart w:id="4" w:name="_Toc4619"/>
      <w:r>
        <w:rPr>
          <w:rFonts w:hint="eastAsia"/>
          <w:b/>
          <w:bCs/>
        </w:rPr>
        <w:t>创新要素加速集聚</w:t>
      </w:r>
      <w:r>
        <w:rPr>
          <w:rFonts w:hint="eastAsia"/>
          <w:b/>
          <w:bCs/>
          <w:lang w:eastAsia="zh-CN"/>
        </w:rPr>
        <w:t>。</w:t>
      </w:r>
      <w:r>
        <w:rPr>
          <w:rFonts w:hint="eastAsia" w:ascii="Times New Roman" w:hAnsi="Times New Roman" w:eastAsia="仿宋_GB2312" w:cs="Times New Roman"/>
          <w:spacing w:val="0"/>
          <w:sz w:val="32"/>
          <w:szCs w:val="32"/>
          <w:lang w:val="en-US" w:eastAsia="zh-CN"/>
        </w:rPr>
        <w:t>成功培育微容科技成为粤东西北地区首家“独角兽”企业</w:t>
      </w:r>
      <w:r>
        <w:rPr>
          <w:rFonts w:hint="eastAsia" w:ascii="Times New Roman" w:hAnsi="Times New Roman" w:cs="Times New Roman"/>
          <w:spacing w:val="0"/>
          <w:sz w:val="32"/>
          <w:szCs w:val="32"/>
          <w:lang w:val="en-US" w:eastAsia="zh-CN"/>
        </w:rPr>
        <w:t>。</w:t>
      </w:r>
      <w:r>
        <w:rPr>
          <w:rFonts w:hint="eastAsia"/>
          <w:lang w:val="en-US" w:eastAsia="zh-CN"/>
        </w:rPr>
        <w:t>培育有效</w:t>
      </w:r>
      <w:r>
        <w:rPr>
          <w:rFonts w:hint="eastAsia"/>
        </w:rPr>
        <w:t>高新技术企业</w:t>
      </w:r>
      <w:r>
        <w:rPr>
          <w:rFonts w:hint="eastAsia"/>
          <w:lang w:val="en-US" w:eastAsia="zh-CN"/>
        </w:rPr>
        <w:t>43</w:t>
      </w:r>
      <w:r>
        <w:rPr>
          <w:rFonts w:hint="eastAsia"/>
        </w:rPr>
        <w:t>家、科技型中小企业58家</w:t>
      </w:r>
      <w:r>
        <w:rPr>
          <w:rFonts w:hint="eastAsia"/>
          <w:lang w:eastAsia="zh-CN"/>
        </w:rPr>
        <w:t>，市级以上工程技术研究中心</w:t>
      </w:r>
      <w:r>
        <w:rPr>
          <w:rFonts w:hint="eastAsia"/>
          <w:lang w:val="en-US" w:eastAsia="zh-CN"/>
        </w:rPr>
        <w:t>增至</w:t>
      </w:r>
      <w:r>
        <w:rPr>
          <w:rFonts w:hint="eastAsia"/>
          <w:lang w:eastAsia="zh-CN"/>
        </w:rPr>
        <w:t>22家，市级重点实验室1家</w:t>
      </w:r>
      <w:r>
        <w:rPr>
          <w:rFonts w:hint="eastAsia"/>
        </w:rPr>
        <w:t>，实现市级重点实验室零的突破</w:t>
      </w:r>
      <w:r>
        <w:rPr>
          <w:rFonts w:hint="eastAsia"/>
          <w:lang w:eastAsia="zh-CN"/>
        </w:rPr>
        <w:t>。</w:t>
      </w:r>
      <w:bookmarkEnd w:id="4"/>
      <w:r>
        <w:rPr>
          <w:rFonts w:hint="eastAsia"/>
          <w:b/>
          <w:bCs/>
          <w:lang w:val="en-US" w:eastAsia="zh-CN"/>
        </w:rPr>
        <w:t>城乡统筹加速推进</w:t>
      </w:r>
      <w:r>
        <w:rPr>
          <w:rFonts w:hint="eastAsia"/>
          <w:b/>
          <w:bCs/>
          <w:lang w:eastAsia="zh-CN"/>
        </w:rPr>
        <w:t>。</w:t>
      </w:r>
      <w:r>
        <w:rPr>
          <w:rFonts w:hint="default" w:ascii="Times New Roman" w:hAnsi="Times New Roman" w:eastAsia="仿宋_GB2312" w:cs="Times New Roman"/>
          <w:spacing w:val="0"/>
          <w:sz w:val="32"/>
          <w:szCs w:val="32"/>
          <w:lang w:val="en-US" w:eastAsia="zh-CN"/>
        </w:rPr>
        <w:t>获批省以县城为重要载体的新型城镇化第二批试点，累计投资68.22亿元建设89个市政基础设施项目，完成省级县域商业建设示范县创建工作。乡村振兴成效明显，入选全省首批全域土地综合整治试点名单，</w:t>
      </w:r>
      <w:r>
        <w:rPr>
          <w:rFonts w:hint="eastAsia" w:eastAsia="仿宋_GB2312" w:cs="Times New Roman"/>
          <w:spacing w:val="0"/>
          <w:sz w:val="32"/>
          <w:szCs w:val="32"/>
          <w:lang w:val="en-US" w:eastAsia="zh-CN"/>
        </w:rPr>
        <w:t>“</w:t>
      </w:r>
      <w:r>
        <w:rPr>
          <w:rFonts w:hint="default" w:ascii="Times New Roman" w:hAnsi="Times New Roman" w:eastAsia="仿宋_GB2312" w:cs="Times New Roman"/>
          <w:spacing w:val="0"/>
          <w:sz w:val="32"/>
          <w:szCs w:val="32"/>
          <w:lang w:val="en-US" w:eastAsia="zh-CN"/>
        </w:rPr>
        <w:t>一环线、一通道、两片区</w:t>
      </w:r>
      <w:r>
        <w:rPr>
          <w:rFonts w:hint="eastAsia" w:eastAsia="仿宋_GB2312" w:cs="Times New Roman"/>
          <w:spacing w:val="0"/>
          <w:sz w:val="32"/>
          <w:szCs w:val="32"/>
          <w:lang w:val="en-US" w:eastAsia="zh-CN"/>
        </w:rPr>
        <w:t>”</w:t>
      </w:r>
      <w:r>
        <w:rPr>
          <w:rFonts w:hint="default" w:ascii="Times New Roman" w:hAnsi="Times New Roman" w:eastAsia="仿宋_GB2312" w:cs="Times New Roman"/>
          <w:spacing w:val="0"/>
          <w:sz w:val="32"/>
          <w:szCs w:val="32"/>
          <w:lang w:val="en-US" w:eastAsia="zh-CN"/>
        </w:rPr>
        <w:t>风貌提升行动加快实施，城乡全域环境品质持续改善，336个行政村（社区）集体经营性收入均达17万元以上，</w:t>
      </w:r>
      <w:r>
        <w:rPr>
          <w:rFonts w:hint="eastAsia" w:eastAsia="仿宋_GB2312" w:cs="Times New Roman"/>
          <w:spacing w:val="0"/>
          <w:sz w:val="32"/>
          <w:szCs w:val="32"/>
          <w:lang w:val="en-US" w:eastAsia="zh-CN"/>
        </w:rPr>
        <w:t>“</w:t>
      </w:r>
      <w:r>
        <w:rPr>
          <w:rFonts w:hint="default" w:ascii="Times New Roman" w:hAnsi="Times New Roman" w:eastAsia="仿宋_GB2312" w:cs="Times New Roman"/>
          <w:spacing w:val="0"/>
          <w:sz w:val="32"/>
          <w:szCs w:val="32"/>
          <w:lang w:val="en-US" w:eastAsia="zh-CN"/>
        </w:rPr>
        <w:t>百千万工程</w:t>
      </w:r>
      <w:r>
        <w:rPr>
          <w:rFonts w:hint="eastAsia" w:eastAsia="仿宋_GB2312" w:cs="Times New Roman"/>
          <w:spacing w:val="0"/>
          <w:sz w:val="32"/>
          <w:szCs w:val="32"/>
          <w:lang w:val="en-US" w:eastAsia="zh-CN"/>
        </w:rPr>
        <w:t>”</w:t>
      </w:r>
      <w:r>
        <w:rPr>
          <w:rFonts w:hint="default" w:ascii="Times New Roman" w:hAnsi="Times New Roman" w:eastAsia="仿宋_GB2312" w:cs="Times New Roman"/>
          <w:spacing w:val="0"/>
          <w:sz w:val="32"/>
          <w:szCs w:val="32"/>
          <w:lang w:val="en-US" w:eastAsia="zh-CN"/>
        </w:rPr>
        <w:t>初见成效</w:t>
      </w:r>
      <w:r>
        <w:rPr>
          <w:rFonts w:hint="eastAsia"/>
          <w:lang w:eastAsia="zh-CN"/>
        </w:rPr>
        <w:t>。</w:t>
      </w:r>
      <w:r>
        <w:rPr>
          <w:rFonts w:hint="eastAsia"/>
          <w:b/>
          <w:bCs/>
          <w:lang w:val="en-US" w:eastAsia="zh-CN"/>
        </w:rPr>
        <w:t>改革开放纵深推进</w:t>
      </w:r>
      <w:r>
        <w:rPr>
          <w:rFonts w:hint="eastAsia"/>
          <w:b/>
          <w:bCs/>
          <w:lang w:eastAsia="zh-CN"/>
        </w:rPr>
        <w:t>。</w:t>
      </w:r>
      <w:r>
        <w:rPr>
          <w:rFonts w:hint="eastAsia" w:eastAsia="仿宋_GB2312" w:cs="Times New Roman"/>
          <w:spacing w:val="0"/>
          <w:sz w:val="32"/>
          <w:szCs w:val="32"/>
          <w:lang w:val="en-US" w:eastAsia="zh-CN"/>
        </w:rPr>
        <w:t>“</w:t>
      </w:r>
      <w:r>
        <w:rPr>
          <w:rFonts w:hint="default" w:ascii="Times New Roman" w:hAnsi="Times New Roman" w:eastAsia="仿宋_GB2312" w:cs="Times New Roman"/>
          <w:spacing w:val="0"/>
          <w:sz w:val="32"/>
          <w:szCs w:val="32"/>
          <w:lang w:val="en-US" w:eastAsia="zh-CN"/>
        </w:rPr>
        <w:t>高效办成一件事</w:t>
      </w:r>
      <w:r>
        <w:rPr>
          <w:rFonts w:hint="eastAsia" w:eastAsia="仿宋_GB2312" w:cs="Times New Roman"/>
          <w:spacing w:val="0"/>
          <w:sz w:val="32"/>
          <w:szCs w:val="32"/>
          <w:lang w:val="en-US" w:eastAsia="zh-CN"/>
        </w:rPr>
        <w:t>”</w:t>
      </w:r>
      <w:r>
        <w:rPr>
          <w:rFonts w:hint="default" w:ascii="Times New Roman" w:hAnsi="Times New Roman" w:eastAsia="仿宋_GB2312" w:cs="Times New Roman"/>
          <w:spacing w:val="0"/>
          <w:sz w:val="32"/>
          <w:szCs w:val="32"/>
          <w:lang w:val="en-US" w:eastAsia="zh-CN"/>
        </w:rPr>
        <w:t>改革持续深化，行政服务中心连续两年获评</w:t>
      </w:r>
      <w:r>
        <w:rPr>
          <w:rFonts w:hint="eastAsia" w:eastAsia="仿宋_GB2312" w:cs="Times New Roman"/>
          <w:spacing w:val="0"/>
          <w:sz w:val="32"/>
          <w:szCs w:val="32"/>
          <w:lang w:val="en-US" w:eastAsia="zh-CN"/>
        </w:rPr>
        <w:t>“</w:t>
      </w:r>
      <w:r>
        <w:rPr>
          <w:rFonts w:hint="default" w:ascii="Times New Roman" w:hAnsi="Times New Roman" w:eastAsia="仿宋_GB2312" w:cs="Times New Roman"/>
          <w:spacing w:val="0"/>
          <w:sz w:val="32"/>
          <w:szCs w:val="32"/>
          <w:lang w:val="en-US" w:eastAsia="zh-CN"/>
        </w:rPr>
        <w:t>广东省市县级标杆培育大厅</w:t>
      </w:r>
      <w:r>
        <w:rPr>
          <w:rFonts w:hint="eastAsia" w:eastAsia="仿宋_GB2312" w:cs="Times New Roman"/>
          <w:spacing w:val="0"/>
          <w:sz w:val="32"/>
          <w:szCs w:val="32"/>
          <w:lang w:val="en-US" w:eastAsia="zh-CN"/>
        </w:rPr>
        <w:t>”</w:t>
      </w:r>
      <w:r>
        <w:rPr>
          <w:rFonts w:hint="default" w:ascii="Times New Roman" w:hAnsi="Times New Roman" w:eastAsia="仿宋_GB2312" w:cs="Times New Roman"/>
          <w:spacing w:val="0"/>
          <w:sz w:val="32"/>
          <w:szCs w:val="32"/>
          <w:lang w:val="en-US" w:eastAsia="zh-CN"/>
        </w:rPr>
        <w:t>，率先在云浮地区实现服务事项进驻率100%，企业开办全流程平均时间压缩至0.57天。国资国企</w:t>
      </w:r>
      <w:r>
        <w:rPr>
          <w:rFonts w:hint="eastAsia" w:eastAsia="仿宋_GB2312" w:cs="Times New Roman"/>
          <w:spacing w:val="0"/>
          <w:sz w:val="32"/>
          <w:szCs w:val="32"/>
          <w:lang w:val="en-US" w:eastAsia="zh-CN"/>
        </w:rPr>
        <w:t>“</w:t>
      </w:r>
      <w:r>
        <w:rPr>
          <w:rFonts w:hint="default" w:ascii="Times New Roman" w:hAnsi="Times New Roman" w:eastAsia="仿宋_GB2312" w:cs="Times New Roman"/>
          <w:spacing w:val="0"/>
          <w:sz w:val="32"/>
          <w:szCs w:val="32"/>
          <w:lang w:val="en-US" w:eastAsia="zh-CN"/>
        </w:rPr>
        <w:t>3+1</w:t>
      </w:r>
      <w:r>
        <w:rPr>
          <w:rFonts w:hint="eastAsia" w:eastAsia="仿宋_GB2312" w:cs="Times New Roman"/>
          <w:spacing w:val="0"/>
          <w:sz w:val="32"/>
          <w:szCs w:val="32"/>
          <w:lang w:val="en-US" w:eastAsia="zh-CN"/>
        </w:rPr>
        <w:t>”</w:t>
      </w:r>
      <w:r>
        <w:rPr>
          <w:rFonts w:hint="default" w:ascii="Times New Roman" w:hAnsi="Times New Roman" w:eastAsia="仿宋_GB2312" w:cs="Times New Roman"/>
          <w:spacing w:val="0"/>
          <w:sz w:val="32"/>
          <w:szCs w:val="32"/>
          <w:lang w:val="en-US" w:eastAsia="zh-CN"/>
        </w:rPr>
        <w:t>改革深入推进，获批首家AA主体信用等级企业。</w:t>
      </w:r>
      <w:r>
        <w:rPr>
          <w:rFonts w:hint="eastAsia" w:eastAsia="仿宋_GB2312" w:cs="Times New Roman"/>
          <w:spacing w:val="0"/>
          <w:sz w:val="32"/>
          <w:szCs w:val="32"/>
          <w:lang w:val="en-US" w:eastAsia="zh-CN"/>
        </w:rPr>
        <w:t>“</w:t>
      </w:r>
      <w:r>
        <w:rPr>
          <w:rFonts w:hint="default" w:ascii="Times New Roman" w:hAnsi="Times New Roman" w:eastAsia="仿宋_GB2312" w:cs="Times New Roman"/>
          <w:spacing w:val="0"/>
          <w:sz w:val="32"/>
          <w:szCs w:val="32"/>
          <w:lang w:val="en-US" w:eastAsia="zh-CN"/>
        </w:rPr>
        <w:t>东融西联</w:t>
      </w:r>
      <w:r>
        <w:rPr>
          <w:rFonts w:hint="eastAsia" w:eastAsia="仿宋_GB2312" w:cs="Times New Roman"/>
          <w:spacing w:val="0"/>
          <w:sz w:val="32"/>
          <w:szCs w:val="32"/>
          <w:lang w:val="en-US" w:eastAsia="zh-CN"/>
        </w:rPr>
        <w:t>”</w:t>
      </w:r>
      <w:r>
        <w:rPr>
          <w:rFonts w:hint="default" w:ascii="Times New Roman" w:hAnsi="Times New Roman" w:eastAsia="仿宋_GB2312" w:cs="Times New Roman"/>
          <w:spacing w:val="0"/>
          <w:sz w:val="32"/>
          <w:szCs w:val="32"/>
          <w:lang w:val="en-US" w:eastAsia="zh-CN"/>
        </w:rPr>
        <w:t>枢纽门户加快打造，深南高铁等重大交通基础设施项目加快推进，</w:t>
      </w:r>
      <w:r>
        <w:rPr>
          <w:rFonts w:hint="eastAsia" w:eastAsia="仿宋_GB2312" w:cs="Times New Roman"/>
          <w:spacing w:val="0"/>
          <w:sz w:val="32"/>
          <w:szCs w:val="32"/>
          <w:lang w:val="en-US" w:eastAsia="zh-CN"/>
        </w:rPr>
        <w:t>“</w:t>
      </w:r>
      <w:r>
        <w:rPr>
          <w:rFonts w:hint="default" w:ascii="Times New Roman" w:hAnsi="Times New Roman" w:eastAsia="仿宋_GB2312" w:cs="Times New Roman"/>
          <w:spacing w:val="0"/>
          <w:sz w:val="32"/>
          <w:szCs w:val="32"/>
          <w:lang w:val="en-US" w:eastAsia="zh-CN"/>
        </w:rPr>
        <w:t>五外联动</w:t>
      </w:r>
      <w:r>
        <w:rPr>
          <w:rFonts w:hint="eastAsia" w:eastAsia="仿宋_GB2312" w:cs="Times New Roman"/>
          <w:spacing w:val="0"/>
          <w:sz w:val="32"/>
          <w:szCs w:val="32"/>
          <w:lang w:val="en-US" w:eastAsia="zh-CN"/>
        </w:rPr>
        <w:t>”</w:t>
      </w:r>
      <w:r>
        <w:rPr>
          <w:rFonts w:hint="default" w:ascii="Times New Roman" w:hAnsi="Times New Roman" w:eastAsia="仿宋_GB2312" w:cs="Times New Roman"/>
          <w:spacing w:val="0"/>
          <w:sz w:val="32"/>
          <w:szCs w:val="32"/>
          <w:lang w:val="en-US" w:eastAsia="zh-CN"/>
        </w:rPr>
        <w:t>持续深化，全市外贸进出口总额预计较2021年增长24.5%</w:t>
      </w:r>
      <w:r>
        <w:rPr>
          <w:rFonts w:hint="eastAsia"/>
          <w:lang w:eastAsia="zh-CN"/>
        </w:rPr>
        <w:t>。</w:t>
      </w:r>
      <w:bookmarkStart w:id="5" w:name="_Toc16541"/>
      <w:r>
        <w:rPr>
          <w:rFonts w:hint="eastAsia"/>
          <w:b/>
          <w:bCs/>
        </w:rPr>
        <w:t>生态质量持续提升</w:t>
      </w:r>
      <w:r>
        <w:rPr>
          <w:rFonts w:hint="eastAsia"/>
          <w:b/>
          <w:bCs/>
          <w:lang w:eastAsia="zh-CN"/>
        </w:rPr>
        <w:t>。</w:t>
      </w:r>
      <w:r>
        <w:rPr>
          <w:rFonts w:hint="default" w:ascii="Times New Roman" w:hAnsi="Times New Roman" w:eastAsia="仿宋_GB2312" w:cs="Times New Roman"/>
          <w:spacing w:val="0"/>
          <w:sz w:val="32"/>
          <w:szCs w:val="32"/>
          <w:lang w:val="en-US" w:eastAsia="zh-CN"/>
        </w:rPr>
        <w:t>完成森林质量精准提升16.67万亩；累计投入5.83亿元新建扩建城镇污水设施7个，新建城镇污水管网180.2公里；3754条自然村完成农村生活污水治理。空气、水质等环境质量方面连续多年保持达标，金银湖国家湿地公园被选为绿美广东生态建设示范点。</w:t>
      </w:r>
      <w:r>
        <w:rPr>
          <w:rFonts w:hint="eastAsia" w:eastAsia="仿宋_GB2312" w:cs="Times New Roman"/>
          <w:spacing w:val="0"/>
          <w:sz w:val="32"/>
          <w:szCs w:val="32"/>
          <w:lang w:val="en-US" w:eastAsia="zh-CN"/>
        </w:rPr>
        <w:t>“</w:t>
      </w:r>
      <w:r>
        <w:rPr>
          <w:rFonts w:hint="default" w:ascii="Times New Roman" w:hAnsi="Times New Roman" w:eastAsia="仿宋_GB2312" w:cs="Times New Roman"/>
          <w:spacing w:val="0"/>
          <w:sz w:val="32"/>
          <w:szCs w:val="32"/>
          <w:lang w:val="en-US" w:eastAsia="zh-CN"/>
        </w:rPr>
        <w:t>十四五</w:t>
      </w:r>
      <w:r>
        <w:rPr>
          <w:rFonts w:hint="eastAsia" w:eastAsia="仿宋_GB2312" w:cs="Times New Roman"/>
          <w:spacing w:val="0"/>
          <w:sz w:val="32"/>
          <w:szCs w:val="32"/>
          <w:lang w:val="en-US" w:eastAsia="zh-CN"/>
        </w:rPr>
        <w:t>”</w:t>
      </w:r>
      <w:r>
        <w:rPr>
          <w:rFonts w:hint="default" w:ascii="Times New Roman" w:hAnsi="Times New Roman" w:eastAsia="仿宋_GB2312" w:cs="Times New Roman"/>
          <w:spacing w:val="0"/>
          <w:sz w:val="32"/>
          <w:szCs w:val="32"/>
          <w:lang w:val="en-US" w:eastAsia="zh-CN"/>
        </w:rPr>
        <w:t>以来GDP能耗累计下降15.43%，成功创建国家循环经济示范县，分布式光伏并网规模居云浮第一。</w:t>
      </w:r>
      <w:bookmarkEnd w:id="5"/>
      <w:bookmarkStart w:id="6" w:name="_Toc3951"/>
      <w:r>
        <w:rPr>
          <w:rFonts w:hint="eastAsia"/>
          <w:b/>
          <w:bCs/>
        </w:rPr>
        <w:t>民生福祉持续增进</w:t>
      </w:r>
      <w:bookmarkEnd w:id="6"/>
      <w:r>
        <w:rPr>
          <w:rFonts w:hint="eastAsia"/>
          <w:b/>
          <w:bCs/>
          <w:lang w:eastAsia="zh-CN"/>
        </w:rPr>
        <w:t>。</w:t>
      </w:r>
      <w:r>
        <w:rPr>
          <w:rFonts w:hint="default" w:ascii="Times New Roman" w:hAnsi="Times New Roman" w:eastAsia="仿宋_GB2312" w:cs="Times New Roman"/>
          <w:spacing w:val="0"/>
          <w:sz w:val="32"/>
          <w:szCs w:val="32"/>
          <w:lang w:val="en-US" w:eastAsia="zh-CN"/>
        </w:rPr>
        <w:t>累计投入12.8亿元新建、扩建学校38所，新增公办学位2.62万个；新建、扩建医院7家，与珠江医院、省中医院深入开展合作，县域住院率91.1%，排名全省第4；</w:t>
      </w:r>
      <w:r>
        <w:rPr>
          <w:rFonts w:hint="eastAsia" w:eastAsia="仿宋_GB2312" w:cs="Times New Roman"/>
          <w:spacing w:val="0"/>
          <w:sz w:val="32"/>
          <w:szCs w:val="32"/>
          <w:lang w:val="en-US" w:eastAsia="zh-CN"/>
        </w:rPr>
        <w:t>“</w:t>
      </w:r>
      <w:r>
        <w:rPr>
          <w:rFonts w:hint="default" w:ascii="Times New Roman" w:hAnsi="Times New Roman" w:eastAsia="仿宋_GB2312" w:cs="Times New Roman"/>
          <w:spacing w:val="0"/>
          <w:sz w:val="32"/>
          <w:szCs w:val="32"/>
          <w:lang w:val="en-US" w:eastAsia="zh-CN"/>
        </w:rPr>
        <w:t>一老一小</w:t>
      </w:r>
      <w:r>
        <w:rPr>
          <w:rFonts w:hint="eastAsia" w:eastAsia="仿宋_GB2312" w:cs="Times New Roman"/>
          <w:spacing w:val="0"/>
          <w:sz w:val="32"/>
          <w:szCs w:val="32"/>
          <w:lang w:val="en-US" w:eastAsia="zh-CN"/>
        </w:rPr>
        <w:t>”</w:t>
      </w:r>
      <w:r>
        <w:rPr>
          <w:rFonts w:hint="default" w:ascii="Times New Roman" w:hAnsi="Times New Roman" w:eastAsia="仿宋_GB2312" w:cs="Times New Roman"/>
          <w:spacing w:val="0"/>
          <w:sz w:val="32"/>
          <w:szCs w:val="32"/>
          <w:lang w:val="en-US" w:eastAsia="zh-CN"/>
        </w:rPr>
        <w:t>服务持续优化，市区域中心养老院计划投入运营，居家养老服务中心（站）增至74个；城镇新增就业人数达到2.38万人，民生底线兜牢筑稳。荣获</w:t>
      </w:r>
      <w:r>
        <w:rPr>
          <w:rFonts w:hint="eastAsia" w:eastAsia="仿宋_GB2312" w:cs="Times New Roman"/>
          <w:spacing w:val="0"/>
          <w:sz w:val="32"/>
          <w:szCs w:val="32"/>
          <w:lang w:val="en-US" w:eastAsia="zh-CN"/>
        </w:rPr>
        <w:t>“</w:t>
      </w:r>
      <w:r>
        <w:rPr>
          <w:rFonts w:hint="default" w:ascii="Times New Roman" w:hAnsi="Times New Roman" w:eastAsia="仿宋_GB2312" w:cs="Times New Roman"/>
          <w:spacing w:val="0"/>
          <w:sz w:val="32"/>
          <w:szCs w:val="32"/>
          <w:lang w:val="en-US" w:eastAsia="zh-CN"/>
        </w:rPr>
        <w:t>全国象棋之乡</w:t>
      </w:r>
      <w:r>
        <w:rPr>
          <w:rFonts w:hint="eastAsia" w:eastAsia="仿宋_GB2312" w:cs="Times New Roman"/>
          <w:spacing w:val="0"/>
          <w:sz w:val="32"/>
          <w:szCs w:val="32"/>
          <w:lang w:val="en-US" w:eastAsia="zh-CN"/>
        </w:rPr>
        <w:t>”</w:t>
      </w:r>
      <w:r>
        <w:rPr>
          <w:rFonts w:hint="default" w:ascii="Times New Roman" w:hAnsi="Times New Roman" w:eastAsia="仿宋_GB2312" w:cs="Times New Roman"/>
          <w:spacing w:val="0"/>
          <w:sz w:val="32"/>
          <w:szCs w:val="32"/>
          <w:lang w:val="en-US" w:eastAsia="zh-CN"/>
        </w:rPr>
        <w:t>，新增2个国家3A旅游景区，新建3个体育公园，连续两年成功举办龙舟赛系列活动，历史文化名城</w:t>
      </w:r>
      <w:r>
        <w:rPr>
          <w:rFonts w:hint="eastAsia" w:eastAsia="仿宋_GB2312" w:cs="Times New Roman"/>
          <w:spacing w:val="0"/>
          <w:sz w:val="32"/>
          <w:szCs w:val="32"/>
          <w:lang w:val="en-US" w:eastAsia="zh-CN"/>
        </w:rPr>
        <w:t>“</w:t>
      </w:r>
      <w:r>
        <w:rPr>
          <w:rFonts w:hint="default" w:ascii="Times New Roman" w:hAnsi="Times New Roman" w:eastAsia="仿宋_GB2312" w:cs="Times New Roman"/>
          <w:spacing w:val="0"/>
          <w:sz w:val="32"/>
          <w:szCs w:val="32"/>
          <w:lang w:val="en-US" w:eastAsia="zh-CN"/>
        </w:rPr>
        <w:t>金名片</w:t>
      </w:r>
      <w:r>
        <w:rPr>
          <w:rFonts w:hint="eastAsia" w:eastAsia="仿宋_GB2312" w:cs="Times New Roman"/>
          <w:spacing w:val="0"/>
          <w:sz w:val="32"/>
          <w:szCs w:val="32"/>
          <w:lang w:val="en-US" w:eastAsia="zh-CN"/>
        </w:rPr>
        <w:t>”</w:t>
      </w:r>
      <w:r>
        <w:rPr>
          <w:rFonts w:hint="default" w:ascii="Times New Roman" w:hAnsi="Times New Roman" w:eastAsia="仿宋_GB2312" w:cs="Times New Roman"/>
          <w:spacing w:val="0"/>
          <w:sz w:val="32"/>
          <w:szCs w:val="32"/>
          <w:lang w:val="en-US" w:eastAsia="zh-CN"/>
        </w:rPr>
        <w:t>进一步擦亮</w:t>
      </w:r>
      <w:r>
        <w:rPr>
          <w:rFonts w:hint="eastAsia"/>
        </w:rPr>
        <w:t>。</w:t>
      </w:r>
      <w:bookmarkStart w:id="7" w:name="_Toc8739"/>
    </w:p>
    <w:p w14:paraId="08B289CD">
      <w:pPr>
        <w:pStyle w:val="3"/>
        <w:pageBreakBefore w:val="0"/>
        <w:widowControl w:val="0"/>
        <w:kinsoku/>
        <w:wordWrap/>
        <w:overflowPunct/>
        <w:topLinePunct w:val="0"/>
        <w:autoSpaceDE/>
        <w:autoSpaceDN/>
        <w:bidi w:val="0"/>
        <w:adjustRightInd/>
        <w:ind w:firstLine="640" w:firstLineChars="200"/>
        <w:jc w:val="both"/>
        <w:textAlignment w:val="auto"/>
        <w:rPr>
          <w:rFonts w:hint="eastAsia" w:eastAsia="黑体"/>
          <w:lang w:eastAsia="zh-CN"/>
        </w:rPr>
      </w:pPr>
      <w:r>
        <w:rPr>
          <w:rFonts w:hint="eastAsia"/>
          <w:lang w:val="en-US" w:eastAsia="zh-CN"/>
        </w:rPr>
        <w:t>二、</w:t>
      </w:r>
      <w:r>
        <w:rPr>
          <w:rFonts w:hint="eastAsia"/>
        </w:rPr>
        <w:t>发展</w:t>
      </w:r>
      <w:r>
        <w:rPr>
          <w:rFonts w:hint="eastAsia"/>
          <w:lang w:val="en-US" w:eastAsia="zh-CN"/>
        </w:rPr>
        <w:t>环境</w:t>
      </w:r>
    </w:p>
    <w:bookmarkEnd w:id="3"/>
    <w:bookmarkEnd w:id="7"/>
    <w:p w14:paraId="5369E14F">
      <w:pPr>
        <w:pageBreakBefore w:val="0"/>
        <w:widowControl w:val="0"/>
        <w:kinsoku/>
        <w:wordWrap/>
        <w:overflowPunct/>
        <w:topLinePunct w:val="0"/>
        <w:autoSpaceDE/>
        <w:autoSpaceDN/>
        <w:bidi w:val="0"/>
        <w:adjustRightInd/>
        <w:textAlignment w:val="auto"/>
        <w:rPr>
          <w:rFonts w:hint="eastAsia"/>
        </w:rPr>
      </w:pPr>
      <w:bookmarkStart w:id="8" w:name="_Toc201760798"/>
      <w:r>
        <w:rPr>
          <w:rFonts w:hint="eastAsia"/>
          <w:b/>
          <w:bCs/>
        </w:rPr>
        <w:t>从国际看，</w:t>
      </w:r>
      <w:r>
        <w:t>世界百年未有之大变局加速演进，全球经济复苏乏力，增长预期持续放缓。大国博弈加剧，地缘政治冲突频发，中美战略竞争成为影响国际格局的主线。贸易保护主义抬头，</w:t>
      </w:r>
      <w:r>
        <w:rPr>
          <w:rFonts w:hint="eastAsia"/>
          <w:lang w:eastAsia="zh-CN"/>
        </w:rPr>
        <w:t>“</w:t>
      </w:r>
      <w:r>
        <w:t>黑天鹅</w:t>
      </w:r>
      <w:r>
        <w:rPr>
          <w:rFonts w:hint="eastAsia"/>
          <w:lang w:eastAsia="zh-CN"/>
        </w:rPr>
        <w:t>”“</w:t>
      </w:r>
      <w:r>
        <w:t>灰犀牛</w:t>
      </w:r>
      <w:r>
        <w:rPr>
          <w:rFonts w:hint="eastAsia"/>
          <w:lang w:eastAsia="zh-CN"/>
        </w:rPr>
        <w:t>”</w:t>
      </w:r>
      <w:r>
        <w:t>风险显著增多，全球产业链、供应链加速重构，呈现区域化、本土化、短链化趋势。科技竞争成为国际博弈焦点，人工智能、新能源、生物技术等新兴领域竞争白热化。</w:t>
      </w:r>
      <w:r>
        <w:rPr>
          <w:rFonts w:hint="eastAsia"/>
          <w:b/>
          <w:bCs/>
        </w:rPr>
        <w:t>从国内看，</w:t>
      </w:r>
      <w:r>
        <w:t>我国经济长期向好的基本面没有改变，但仍面临需求收缩、供给冲击、预期转弱三重压力。人口老龄化、少子化趋势加快，传统人口红利逐渐减弱，经济增长更多依靠创新驱动和质量提升。绿色低碳转型深入推进，产业结构优化升级步伐加快，新型城镇化迈向高质量发展新阶段，城乡融合发展机制持续完善。科技创新重要性空前凸显，数字经济、智能制造、绿色技术等新动能正在集聚。</w:t>
      </w:r>
      <w:r>
        <w:rPr>
          <w:rFonts w:hint="eastAsia"/>
          <w:b/>
          <w:bCs/>
        </w:rPr>
        <w:t>从省内看，</w:t>
      </w:r>
      <w:r>
        <w:t>广东肩负着“在推进中国式现代化建设中走在前列”的使命，省委作出“1310”具体部署，坚持制造业当家，深入实施“百千万工程”，加快建设现代化产业体系，大力推进绿美广东生态建设。同时，区域竞争更趋激烈，资源要素约束日益突出，转型发展压力加大。</w:t>
      </w:r>
      <w:r>
        <w:rPr>
          <w:rFonts w:hint="eastAsia"/>
          <w:b/>
          <w:bCs/>
        </w:rPr>
        <w:t>从云浮市内看，</w:t>
      </w:r>
      <w:r>
        <w:t>云浮市委明确“248”战略目标，构建“365”竞标争先体系，坚持“东融湾区、西接RCEP”，以“百千万工程”为总抓手，全面推进强县促镇带村。</w:t>
      </w:r>
      <w:r>
        <w:rPr>
          <w:rFonts w:hint="eastAsia"/>
          <w:b/>
          <w:bCs/>
        </w:rPr>
        <w:t>总体来看，</w:t>
      </w:r>
      <w:r>
        <w:rPr>
          <w:rFonts w:hint="eastAsia"/>
          <w:lang w:val="en-US" w:eastAsia="zh-CN"/>
        </w:rPr>
        <w:t>“十四五”时期罗定</w:t>
      </w:r>
      <w:r>
        <w:rPr>
          <w:rFonts w:hint="eastAsia"/>
        </w:rPr>
        <w:t>经济运行整体保持平稳向好，主导产业持续发展壮大，发展动能持续增强，交通、城建、产业等基础设施不断完善，城市综合承载力吸引力将持续增强，支持高质量发展的要素条件不断集聚增多</w:t>
      </w:r>
      <w:r>
        <w:rPr>
          <w:rFonts w:hint="eastAsia"/>
          <w:lang w:eastAsia="zh-CN"/>
        </w:rPr>
        <w:t>，为“十五五”时期加快高质量发展打下了基础</w:t>
      </w:r>
      <w:r>
        <w:rPr>
          <w:rFonts w:hint="eastAsia"/>
        </w:rPr>
        <w:t>。</w:t>
      </w:r>
      <w:r>
        <w:rPr>
          <w:rFonts w:hint="default" w:ascii="Times New Roman" w:hAnsi="Times New Roman" w:eastAsia="仿宋_GB2312" w:cs="Times New Roman"/>
          <w:sz w:val="32"/>
          <w:szCs w:val="32"/>
          <w:lang w:val="en-US" w:eastAsia="zh-CN"/>
        </w:rPr>
        <w:t>省委</w:t>
      </w:r>
      <w:r>
        <w:rPr>
          <w:rFonts w:hint="eastAsia"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十五五</w:t>
      </w:r>
      <w:r>
        <w:rPr>
          <w:rFonts w:hint="eastAsia"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规划建议提出整体提升省际边界发展水平、罗定盆地保护等工作要求，云浮市委、市政府作出支持罗定全面振兴发展、打造云浮副中心城市的决策部署，为罗定高质量发展提供新机遇新动能</w:t>
      </w:r>
      <w:r>
        <w:rPr>
          <w:rFonts w:hint="eastAsia" w:ascii="Times New Roman" w:hAnsi="Times New Roman" w:cs="Times New Roman"/>
          <w:sz w:val="32"/>
          <w:szCs w:val="32"/>
          <w:lang w:val="en-US" w:eastAsia="zh-CN"/>
        </w:rPr>
        <w:t>。</w:t>
      </w:r>
    </w:p>
    <w:p w14:paraId="72006695">
      <w:pPr>
        <w:pStyle w:val="3"/>
        <w:pageBreakBefore w:val="0"/>
        <w:widowControl w:val="0"/>
        <w:kinsoku/>
        <w:wordWrap/>
        <w:overflowPunct/>
        <w:topLinePunct w:val="0"/>
        <w:autoSpaceDE/>
        <w:autoSpaceDN/>
        <w:bidi w:val="0"/>
        <w:adjustRightInd/>
        <w:ind w:firstLine="640" w:firstLineChars="200"/>
        <w:jc w:val="both"/>
        <w:textAlignment w:val="auto"/>
        <w:rPr>
          <w:rFonts w:hint="eastAsia"/>
        </w:rPr>
      </w:pPr>
      <w:r>
        <w:rPr>
          <w:rFonts w:hint="eastAsia"/>
          <w:lang w:val="en-US" w:eastAsia="zh-CN"/>
        </w:rPr>
        <w:t>三、指导思想</w:t>
      </w:r>
    </w:p>
    <w:bookmarkEnd w:id="8"/>
    <w:p w14:paraId="1B1FD7B2">
      <w:pPr>
        <w:keepNext w:val="0"/>
        <w:keepLines w:val="0"/>
        <w:pageBreakBefore w:val="0"/>
        <w:widowControl w:val="0"/>
        <w:suppressLineNumbers w:val="0"/>
        <w:kinsoku/>
        <w:wordWrap/>
        <w:overflowPunct/>
        <w:topLinePunct w:val="0"/>
        <w:autoSpaceDE/>
        <w:autoSpaceDN/>
        <w:bidi w:val="0"/>
        <w:adjustRightInd/>
        <w:jc w:val="left"/>
        <w:textAlignment w:val="auto"/>
        <w:rPr>
          <w:rFonts w:hint="eastAsia" w:ascii="Times New Roman" w:hAnsi="Times New Roman" w:eastAsia="仿宋_GB2312" w:cs="Times New Roman"/>
          <w:b w:val="0"/>
          <w:color w:val="auto"/>
          <w:kern w:val="2"/>
          <w:sz w:val="32"/>
          <w:szCs w:val="20"/>
          <w:lang w:val="en-US" w:eastAsia="zh-CN" w:bidi="ar-SA"/>
          <w14:ligatures w14:val="standardContextual"/>
        </w:rPr>
      </w:pPr>
      <w:bookmarkStart w:id="9" w:name="_Toc201760800"/>
      <w:r>
        <w:rPr>
          <w:rFonts w:hint="default" w:ascii="Times New Roman" w:hAnsi="Times New Roman" w:cs="Times New Roman"/>
          <w:color w:val="auto"/>
          <w:sz w:val="32"/>
          <w:szCs w:val="32"/>
          <w:highlight w:val="none"/>
          <w:u w:val="none" w:color="auto"/>
          <w:lang w:val="en-US" w:eastAsia="zh-CN"/>
        </w:rPr>
        <w:t>坚持</w:t>
      </w:r>
      <w:r>
        <w:rPr>
          <w:rFonts w:hint="eastAsia" w:ascii="Times New Roman" w:hAnsi="Times New Roman" w:cs="Times New Roman"/>
          <w:color w:val="auto"/>
          <w:sz w:val="32"/>
          <w:szCs w:val="32"/>
          <w:highlight w:val="none"/>
          <w:u w:val="none" w:color="auto"/>
          <w:lang w:val="en-US" w:eastAsia="zh-CN"/>
        </w:rPr>
        <w:t>以</w:t>
      </w:r>
      <w:r>
        <w:rPr>
          <w:rFonts w:hint="default" w:ascii="Times New Roman" w:hAnsi="Times New Roman" w:cs="Times New Roman"/>
          <w:color w:val="auto"/>
          <w:sz w:val="32"/>
          <w:szCs w:val="32"/>
          <w:highlight w:val="none"/>
          <w:u w:val="none" w:color="auto"/>
          <w:lang w:val="en-US" w:eastAsia="zh-CN"/>
        </w:rPr>
        <w:t>马克思列宁主义、毛泽东思想、邓小平理论、</w:t>
      </w:r>
      <w:r>
        <w:rPr>
          <w:rFonts w:hint="eastAsia" w:ascii="仿宋_GB2312" w:hAnsi="仿宋_GB2312" w:cs="Times New Roman"/>
          <w:color w:val="auto"/>
          <w:sz w:val="32"/>
          <w:szCs w:val="32"/>
          <w:highlight w:val="none"/>
          <w:u w:val="none" w:color="auto"/>
          <w:lang w:val="en-US" w:eastAsia="zh-CN"/>
        </w:rPr>
        <w:t>“</w:t>
      </w:r>
      <w:r>
        <w:rPr>
          <w:rFonts w:hint="default" w:ascii="Times New Roman" w:hAnsi="Times New Roman" w:cs="Times New Roman"/>
          <w:color w:val="auto"/>
          <w:sz w:val="32"/>
          <w:szCs w:val="32"/>
          <w:highlight w:val="none"/>
          <w:u w:val="none" w:color="auto"/>
          <w:lang w:val="en-US" w:eastAsia="zh-CN"/>
        </w:rPr>
        <w:t>三个代表</w:t>
      </w:r>
      <w:r>
        <w:rPr>
          <w:rFonts w:hint="eastAsia" w:ascii="仿宋_GB2312" w:hAnsi="仿宋_GB2312" w:cs="Times New Roman"/>
          <w:color w:val="auto"/>
          <w:sz w:val="32"/>
          <w:szCs w:val="32"/>
          <w:highlight w:val="none"/>
          <w:u w:val="none" w:color="auto"/>
          <w:lang w:val="en-US" w:eastAsia="zh-CN"/>
        </w:rPr>
        <w:t>”</w:t>
      </w:r>
      <w:r>
        <w:rPr>
          <w:rFonts w:hint="default" w:ascii="Times New Roman" w:hAnsi="Times New Roman" w:cs="Times New Roman"/>
          <w:color w:val="auto"/>
          <w:sz w:val="32"/>
          <w:szCs w:val="32"/>
          <w:highlight w:val="none"/>
          <w:u w:val="none" w:color="auto"/>
          <w:lang w:val="en-US" w:eastAsia="zh-CN"/>
        </w:rPr>
        <w:t>重要思想、科学发展观</w:t>
      </w:r>
      <w:r>
        <w:rPr>
          <w:rFonts w:hint="eastAsia" w:ascii="Times New Roman" w:hAnsi="Times New Roman" w:cs="Times New Roman"/>
          <w:color w:val="auto"/>
          <w:sz w:val="32"/>
          <w:szCs w:val="32"/>
          <w:highlight w:val="none"/>
          <w:u w:val="none" w:color="auto"/>
          <w:lang w:val="en-US" w:eastAsia="zh-CN"/>
        </w:rPr>
        <w:t>，</w:t>
      </w:r>
      <w:r>
        <w:rPr>
          <w:rFonts w:hint="eastAsia"/>
        </w:rPr>
        <w:t>全面贯彻</w:t>
      </w:r>
      <w:r>
        <w:rPr>
          <w:rFonts w:hint="default" w:ascii="Times New Roman" w:hAnsi="Times New Roman" w:cs="Times New Roman"/>
          <w:color w:val="auto"/>
          <w:sz w:val="32"/>
          <w:szCs w:val="32"/>
          <w:highlight w:val="none"/>
          <w:u w:val="none" w:color="auto"/>
          <w:lang w:val="en-US" w:eastAsia="zh-CN"/>
        </w:rPr>
        <w:t>习近平新时代中国特色社会主义思想，</w:t>
      </w:r>
      <w:r>
        <w:rPr>
          <w:rFonts w:hint="eastAsia"/>
        </w:rPr>
        <w:t>深入</w:t>
      </w:r>
      <w:r>
        <w:rPr>
          <w:rFonts w:hint="default" w:ascii="Times New Roman" w:hAnsi="Times New Roman" w:cs="Times New Roman"/>
          <w:color w:val="auto"/>
          <w:sz w:val="32"/>
          <w:szCs w:val="32"/>
          <w:highlight w:val="none"/>
          <w:u w:val="none" w:color="auto"/>
          <w:lang w:val="en-US" w:eastAsia="zh-CN"/>
        </w:rPr>
        <w:t>贯彻党的二十大和二十届</w:t>
      </w:r>
      <w:r>
        <w:rPr>
          <w:rFonts w:hint="eastAsia" w:ascii="Times New Roman" w:hAnsi="Times New Roman" w:cs="Times New Roman"/>
          <w:color w:val="auto"/>
          <w:sz w:val="32"/>
          <w:szCs w:val="32"/>
          <w:highlight w:val="none"/>
          <w:u w:val="none" w:color="auto"/>
          <w:lang w:val="en-US" w:eastAsia="zh-CN"/>
        </w:rPr>
        <w:t>历次</w:t>
      </w:r>
      <w:r>
        <w:rPr>
          <w:rFonts w:hint="default" w:ascii="Times New Roman" w:hAnsi="Times New Roman" w:cs="Times New Roman"/>
          <w:color w:val="auto"/>
          <w:sz w:val="32"/>
          <w:szCs w:val="32"/>
          <w:highlight w:val="none"/>
          <w:u w:val="none" w:color="auto"/>
          <w:lang w:val="en-US" w:eastAsia="zh-CN"/>
        </w:rPr>
        <w:t>全会精神，</w:t>
      </w:r>
      <w:r>
        <w:rPr>
          <w:rFonts w:hint="eastAsia"/>
        </w:rPr>
        <w:t>认真落实</w:t>
      </w:r>
      <w:r>
        <w:rPr>
          <w:rFonts w:hint="default" w:ascii="Times New Roman" w:hAnsi="Times New Roman" w:cs="Times New Roman"/>
          <w:color w:val="auto"/>
          <w:sz w:val="32"/>
          <w:szCs w:val="32"/>
          <w:highlight w:val="none"/>
          <w:u w:val="none" w:color="auto"/>
          <w:lang w:val="en-US" w:eastAsia="zh-CN"/>
        </w:rPr>
        <w:t>习近平总书记对广东系列重要讲话和重要指示精神，围绕全面建成社会主义现代化强国、实现第二个百年奋斗目标，统筹推进</w:t>
      </w:r>
      <w:r>
        <w:rPr>
          <w:rFonts w:hint="eastAsia" w:ascii="仿宋_GB2312" w:hAnsi="仿宋_GB2312" w:cs="Times New Roman"/>
          <w:color w:val="auto"/>
          <w:sz w:val="32"/>
          <w:szCs w:val="32"/>
          <w:highlight w:val="none"/>
          <w:u w:val="none" w:color="auto"/>
          <w:lang w:val="en-US" w:eastAsia="zh-CN"/>
        </w:rPr>
        <w:t>“</w:t>
      </w:r>
      <w:r>
        <w:rPr>
          <w:rFonts w:hint="default" w:ascii="Times New Roman" w:hAnsi="Times New Roman" w:cs="Times New Roman"/>
          <w:color w:val="auto"/>
          <w:sz w:val="32"/>
          <w:szCs w:val="32"/>
          <w:highlight w:val="none"/>
          <w:u w:val="none" w:color="auto"/>
          <w:lang w:val="en-US" w:eastAsia="zh-CN"/>
        </w:rPr>
        <w:t>五位一体</w:t>
      </w:r>
      <w:r>
        <w:rPr>
          <w:rFonts w:hint="eastAsia" w:ascii="仿宋_GB2312" w:hAnsi="仿宋_GB2312" w:cs="Times New Roman"/>
          <w:color w:val="auto"/>
          <w:sz w:val="32"/>
          <w:szCs w:val="32"/>
          <w:highlight w:val="none"/>
          <w:u w:val="none" w:color="auto"/>
          <w:lang w:val="en-US" w:eastAsia="zh-CN"/>
        </w:rPr>
        <w:t>”</w:t>
      </w:r>
      <w:r>
        <w:rPr>
          <w:rFonts w:hint="default" w:ascii="Times New Roman" w:hAnsi="Times New Roman" w:cs="Times New Roman"/>
          <w:color w:val="auto"/>
          <w:sz w:val="32"/>
          <w:szCs w:val="32"/>
          <w:highlight w:val="none"/>
          <w:u w:val="none" w:color="auto"/>
          <w:lang w:val="en-US" w:eastAsia="zh-CN"/>
        </w:rPr>
        <w:t>总体布局，协调推进</w:t>
      </w:r>
      <w:r>
        <w:rPr>
          <w:rFonts w:hint="eastAsia" w:ascii="仿宋_GB2312" w:hAnsi="仿宋_GB2312" w:cs="Times New Roman"/>
          <w:color w:val="auto"/>
          <w:sz w:val="32"/>
          <w:szCs w:val="32"/>
          <w:highlight w:val="none"/>
          <w:u w:val="none" w:color="auto"/>
          <w:lang w:val="en-US" w:eastAsia="zh-CN"/>
        </w:rPr>
        <w:t>“</w:t>
      </w:r>
      <w:r>
        <w:rPr>
          <w:rFonts w:hint="default" w:ascii="Times New Roman" w:hAnsi="Times New Roman" w:cs="Times New Roman"/>
          <w:color w:val="auto"/>
          <w:sz w:val="32"/>
          <w:szCs w:val="32"/>
          <w:highlight w:val="none"/>
          <w:u w:val="none" w:color="auto"/>
          <w:lang w:val="en-US" w:eastAsia="zh-CN"/>
        </w:rPr>
        <w:t>四个全面</w:t>
      </w:r>
      <w:r>
        <w:rPr>
          <w:rFonts w:hint="eastAsia" w:ascii="仿宋_GB2312" w:hAnsi="仿宋_GB2312" w:cs="Times New Roman"/>
          <w:color w:val="auto"/>
          <w:sz w:val="32"/>
          <w:szCs w:val="32"/>
          <w:highlight w:val="none"/>
          <w:u w:val="none" w:color="auto"/>
          <w:lang w:val="en-US" w:eastAsia="zh-CN"/>
        </w:rPr>
        <w:t>”</w:t>
      </w:r>
      <w:r>
        <w:rPr>
          <w:rFonts w:hint="default" w:ascii="Times New Roman" w:hAnsi="Times New Roman" w:cs="Times New Roman"/>
          <w:color w:val="auto"/>
          <w:sz w:val="32"/>
          <w:szCs w:val="32"/>
          <w:highlight w:val="none"/>
          <w:u w:val="none" w:color="auto"/>
          <w:lang w:val="en-US" w:eastAsia="zh-CN"/>
        </w:rPr>
        <w:t>战略布局，统筹国内国际两个大局，完整准确全面贯彻新发展理念，加快构建新发展格局，</w:t>
      </w:r>
      <w:r>
        <w:rPr>
          <w:rFonts w:hint="eastAsia"/>
        </w:rPr>
        <w:t>坚持稳中求进工作总基调</w:t>
      </w:r>
      <w:r>
        <w:rPr>
          <w:rFonts w:hint="eastAsia" w:ascii="Times New Roman" w:hAnsi="Times New Roman" w:cs="Times New Roman"/>
          <w:color w:val="auto"/>
          <w:sz w:val="32"/>
          <w:szCs w:val="20"/>
          <w:lang w:val="en-US" w:eastAsia="zh-CN"/>
        </w:rPr>
        <w:t>，锚定省委“1310”具体部署和云浮市委“365”竞标争先体系</w:t>
      </w:r>
      <w:r>
        <w:rPr>
          <w:rFonts w:hint="eastAsia" w:cs="Times New Roman"/>
          <w:color w:val="auto"/>
          <w:sz w:val="32"/>
          <w:szCs w:val="20"/>
          <w:lang w:val="en-US" w:eastAsia="zh-CN"/>
        </w:rPr>
        <w:t>要求</w:t>
      </w:r>
      <w:r>
        <w:rPr>
          <w:rFonts w:hint="eastAsia" w:ascii="Times New Roman" w:hAnsi="Times New Roman" w:cs="Times New Roman"/>
          <w:color w:val="auto"/>
          <w:sz w:val="32"/>
          <w:szCs w:val="20"/>
          <w:lang w:val="en-US" w:eastAsia="zh-CN"/>
        </w:rPr>
        <w:t>，</w:t>
      </w:r>
      <w:r>
        <w:rPr>
          <w:rFonts w:hint="eastAsia"/>
        </w:rPr>
        <w:t>以推动高质量发展为主题，以改革创新为根本动力，以满足人民日益增长的美好生活需要为根本目的，以全面从严治党为根本保障</w:t>
      </w:r>
      <w:r>
        <w:rPr>
          <w:rFonts w:hint="eastAsia" w:ascii="Times New Roman" w:hAnsi="Times New Roman" w:cs="Times New Roman"/>
          <w:color w:val="auto"/>
          <w:sz w:val="32"/>
          <w:szCs w:val="20"/>
          <w:lang w:val="en-US" w:eastAsia="zh-CN"/>
        </w:rPr>
        <w:t>，紧扣“全面振兴罗定”总目标，奋力将罗定建设成为云浮副中心城市，在谱写中国式现代化的广东新篇章、奋进第二个“云浮30年”中展现罗定担当、贡献罗定力量。</w:t>
      </w:r>
    </w:p>
    <w:bookmarkEnd w:id="9"/>
    <w:p w14:paraId="2071051F">
      <w:pPr>
        <w:pStyle w:val="3"/>
        <w:pageBreakBefore w:val="0"/>
        <w:widowControl w:val="0"/>
        <w:kinsoku/>
        <w:wordWrap/>
        <w:overflowPunct/>
        <w:topLinePunct w:val="0"/>
        <w:autoSpaceDE/>
        <w:autoSpaceDN/>
        <w:bidi w:val="0"/>
        <w:adjustRightInd/>
        <w:ind w:firstLine="640" w:firstLineChars="200"/>
        <w:jc w:val="both"/>
        <w:textAlignment w:val="auto"/>
        <w:rPr>
          <w:rFonts w:hint="eastAsia"/>
        </w:rPr>
      </w:pPr>
      <w:bookmarkStart w:id="10" w:name="_Toc11755"/>
      <w:r>
        <w:rPr>
          <w:rFonts w:hint="eastAsia"/>
          <w:lang w:val="en-US" w:eastAsia="zh-CN"/>
        </w:rPr>
        <w:t>四、</w:t>
      </w:r>
      <w:r>
        <w:rPr>
          <w:rFonts w:hint="eastAsia"/>
        </w:rPr>
        <w:t>发展</w:t>
      </w:r>
      <w:r>
        <w:rPr>
          <w:rFonts w:hint="eastAsia"/>
          <w:lang w:val="en-US" w:eastAsia="zh-CN"/>
        </w:rPr>
        <w:t>目标</w:t>
      </w:r>
      <w:bookmarkEnd w:id="10"/>
    </w:p>
    <w:p w14:paraId="41C1D596">
      <w:pPr>
        <w:pageBreakBefore w:val="0"/>
        <w:widowControl w:val="0"/>
        <w:kinsoku/>
        <w:wordWrap/>
        <w:overflowPunct/>
        <w:topLinePunct w:val="0"/>
        <w:autoSpaceDE/>
        <w:autoSpaceDN/>
        <w:bidi w:val="0"/>
        <w:adjustRightInd/>
        <w:ind w:firstLine="640" w:firstLineChars="200"/>
        <w:textAlignment w:val="auto"/>
        <w:rPr>
          <w:rFonts w:hint="eastAsia" w:ascii="仿宋_GB2312" w:hAnsi="仿宋_GB2312" w:cs="仿宋_GB2312"/>
          <w:sz w:val="32"/>
          <w:szCs w:val="32"/>
          <w:lang w:eastAsia="zh-CN"/>
        </w:rPr>
      </w:pPr>
      <w:r>
        <w:rPr>
          <w:rFonts w:hint="eastAsia" w:ascii="仿宋_GB2312" w:hAnsi="仿宋_GB2312" w:eastAsia="仿宋_GB2312" w:cs="仿宋_GB2312"/>
          <w:sz w:val="32"/>
          <w:szCs w:val="32"/>
        </w:rPr>
        <w:t>紧扣国家和广东省战略部署，</w:t>
      </w:r>
      <w:r>
        <w:rPr>
          <w:rFonts w:hint="eastAsia" w:ascii="仿宋_GB2312" w:hAnsi="仿宋_GB2312" w:cs="仿宋_GB2312"/>
          <w:sz w:val="32"/>
          <w:szCs w:val="32"/>
          <w:lang w:val="en-US" w:eastAsia="zh-CN"/>
        </w:rPr>
        <w:t>围绕云浮市委</w:t>
      </w:r>
      <w:r>
        <w:rPr>
          <w:rFonts w:hint="eastAsia" w:ascii="仿宋_GB2312" w:hAnsi="仿宋_GB2312" w:eastAsia="仿宋_GB2312" w:cs="仿宋_GB2312"/>
          <w:sz w:val="32"/>
          <w:szCs w:val="32"/>
        </w:rPr>
        <w:t>赋予</w:t>
      </w:r>
      <w:r>
        <w:rPr>
          <w:rFonts w:hint="eastAsia" w:ascii="仿宋_GB2312" w:hAnsi="仿宋_GB2312" w:cs="仿宋_GB2312"/>
          <w:sz w:val="32"/>
          <w:szCs w:val="32"/>
          <w:lang w:val="en-US" w:eastAsia="zh-CN"/>
        </w:rPr>
        <w:t>罗定的</w:t>
      </w:r>
      <w:r>
        <w:rPr>
          <w:rFonts w:hint="eastAsia" w:ascii="仿宋_GB2312" w:hAnsi="仿宋_GB2312" w:eastAsia="仿宋_GB2312" w:cs="仿宋_GB2312"/>
          <w:sz w:val="32"/>
          <w:szCs w:val="32"/>
        </w:rPr>
        <w:t>使命任务，锚定“全面振兴罗定”总目标</w:t>
      </w: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未来五年</w:t>
      </w:r>
      <w:r>
        <w:rPr>
          <w:rFonts w:hint="eastAsia" w:ascii="仿宋_GB2312" w:hAnsi="仿宋_GB2312" w:cs="仿宋_GB2312"/>
          <w:sz w:val="32"/>
          <w:szCs w:val="32"/>
          <w:lang w:eastAsia="zh-CN"/>
        </w:rPr>
        <w:t>，</w:t>
      </w:r>
      <w:r>
        <w:rPr>
          <w:rFonts w:hint="eastAsia" w:ascii="仿宋_GB2312" w:hAnsi="仿宋_GB2312" w:cs="仿宋_GB2312"/>
          <w:sz w:val="32"/>
          <w:szCs w:val="32"/>
          <w:lang w:val="en-US" w:eastAsia="zh-CN"/>
        </w:rPr>
        <w:t>将</w:t>
      </w:r>
      <w:r>
        <w:rPr>
          <w:rFonts w:hint="eastAsia" w:ascii="仿宋_GB2312" w:hAnsi="仿宋_GB2312" w:eastAsia="仿宋_GB2312" w:cs="仿宋_GB2312"/>
          <w:sz w:val="32"/>
          <w:szCs w:val="32"/>
        </w:rPr>
        <w:t>罗定</w:t>
      </w:r>
      <w:r>
        <w:rPr>
          <w:rFonts w:hint="eastAsia" w:ascii="仿宋_GB2312" w:hAnsi="仿宋_GB2312" w:cs="仿宋_GB2312"/>
          <w:sz w:val="32"/>
          <w:szCs w:val="32"/>
          <w:lang w:val="en-US" w:eastAsia="zh-CN"/>
        </w:rPr>
        <w:t>打造成为</w:t>
      </w:r>
      <w:r>
        <w:rPr>
          <w:rFonts w:hint="eastAsia" w:ascii="仿宋_GB2312" w:hAnsi="仿宋_GB2312" w:eastAsia="仿宋_GB2312" w:cs="仿宋_GB2312"/>
          <w:sz w:val="32"/>
          <w:szCs w:val="32"/>
        </w:rPr>
        <w:t>东融湾区、西接</w:t>
      </w:r>
      <w:r>
        <w:rPr>
          <w:rFonts w:hint="default" w:ascii="Times New Roman" w:hAnsi="Times New Roman" w:eastAsia="仿宋_GB2312" w:cs="Times New Roman"/>
          <w:sz w:val="32"/>
          <w:szCs w:val="32"/>
        </w:rPr>
        <w:t>RCEP</w:t>
      </w:r>
      <w:r>
        <w:rPr>
          <w:rFonts w:hint="eastAsia" w:ascii="仿宋_GB2312" w:hAnsi="仿宋_GB2312" w:eastAsia="仿宋_GB2312" w:cs="仿宋_GB2312"/>
          <w:sz w:val="32"/>
          <w:szCs w:val="32"/>
        </w:rPr>
        <w:t>的开放门户、省际边界地区的产业新城</w:t>
      </w:r>
      <w:r>
        <w:rPr>
          <w:rFonts w:hint="eastAsia" w:ascii="仿宋_GB2312" w:hAnsi="仿宋_GB2312" w:cs="仿宋_GB2312"/>
          <w:sz w:val="32"/>
          <w:szCs w:val="32"/>
          <w:lang w:eastAsia="zh-CN"/>
        </w:rPr>
        <w:t>、全省“百千万工程”中以县城为重要载体的新型城镇化建设样板，力争实现以下主要目标：</w:t>
      </w:r>
    </w:p>
    <w:p w14:paraId="2C759DBA">
      <w:pPr>
        <w:pageBreakBefore w:val="0"/>
        <w:widowControl w:val="0"/>
        <w:kinsoku/>
        <w:wordWrap/>
        <w:overflowPunct/>
        <w:topLinePunct w:val="0"/>
        <w:autoSpaceDE/>
        <w:autoSpaceDN/>
        <w:bidi w:val="0"/>
        <w:adjustRightInd/>
        <w:ind w:firstLine="643" w:firstLineChars="200"/>
        <w:textAlignment w:val="auto"/>
        <w:rPr>
          <w:rFonts w:hint="eastAsia"/>
        </w:rPr>
      </w:pPr>
      <w:r>
        <w:rPr>
          <w:rFonts w:hint="eastAsia"/>
          <w:b/>
          <w:bCs/>
        </w:rPr>
        <w:t>高质量发展取得新成效。</w:t>
      </w:r>
      <w:r>
        <w:rPr>
          <w:rFonts w:hint="eastAsia"/>
        </w:rPr>
        <w:t>经济实力持续增强，地区生产总值突破500亿元，人均地区生产总值超过5万元，经济增长保持在合理区间。经济结构更加优化，全要素生产率稳步提升，居民消费率明显提高，内需对经济增长的拉动作用持续增强。现代化产业体系建设取得重大进展，六大主导产业集群能级显著提升，制造业占比保持合理稳定，产业基础高级化和产业链现代化水平明显提高。新型城镇化建设扎实推进，常住人口城镇化率大幅提升，城乡区域发展协调性明显增强。</w:t>
      </w:r>
    </w:p>
    <w:p w14:paraId="3388EAD5">
      <w:pPr>
        <w:pageBreakBefore w:val="0"/>
        <w:widowControl w:val="0"/>
        <w:kinsoku/>
        <w:wordWrap/>
        <w:overflowPunct/>
        <w:topLinePunct w:val="0"/>
        <w:autoSpaceDE/>
        <w:autoSpaceDN/>
        <w:bidi w:val="0"/>
        <w:adjustRightInd/>
        <w:ind w:firstLine="643" w:firstLineChars="200"/>
        <w:textAlignment w:val="auto"/>
        <w:rPr>
          <w:rFonts w:hint="eastAsia"/>
        </w:rPr>
      </w:pPr>
      <w:r>
        <w:rPr>
          <w:rFonts w:hint="eastAsia"/>
          <w:b/>
          <w:bCs/>
        </w:rPr>
        <w:t>科技赋能产业创新实现新突破。</w:t>
      </w:r>
      <w:r>
        <w:rPr>
          <w:rFonts w:hint="eastAsia"/>
        </w:rPr>
        <w:t>科技创新对高质量发展的支撑作用显著增</w:t>
      </w:r>
      <w:r>
        <w:rPr>
          <w:rFonts w:hint="eastAsia"/>
          <w:color w:val="auto"/>
        </w:rPr>
        <w:t>强，全社会研发经费投入强度稳步提高，创新平台体系更加完善，企业创新主体地位进一步强化。高新技术企业数量和竞争力持续提升，在电子元器件、南药精深加工等领域突破一批关键核心技术。数字经济与实体经济深度融合，数字经济核心产业增加值占地区生产总值比重稳步提升，新</w:t>
      </w:r>
      <w:r>
        <w:rPr>
          <w:rFonts w:hint="eastAsia"/>
        </w:rPr>
        <w:t>质生产力发展活力加速释放。</w:t>
      </w:r>
    </w:p>
    <w:p w14:paraId="1F2D17F7">
      <w:pPr>
        <w:pageBreakBefore w:val="0"/>
        <w:widowControl w:val="0"/>
        <w:kinsoku/>
        <w:wordWrap/>
        <w:overflowPunct/>
        <w:topLinePunct w:val="0"/>
        <w:autoSpaceDE/>
        <w:autoSpaceDN/>
        <w:bidi w:val="0"/>
        <w:adjustRightInd/>
        <w:ind w:firstLine="643" w:firstLineChars="200"/>
        <w:textAlignment w:val="auto"/>
        <w:rPr>
          <w:rFonts w:hint="eastAsia"/>
        </w:rPr>
      </w:pPr>
      <w:r>
        <w:rPr>
          <w:rFonts w:hint="eastAsia"/>
          <w:b/>
          <w:bCs/>
        </w:rPr>
        <w:t>改革开放迈出新步伐。</w:t>
      </w:r>
      <w:r>
        <w:rPr>
          <w:rFonts w:hint="eastAsia"/>
        </w:rPr>
        <w:t>重点领域改革取得新突破，高标准市场体系基本建成，营商环境达到大湾区先进水平。“东融西联”枢纽门户功能显著增强，融入粤港澳大湾区建设取得实质性进展，与北部湾城市群及RCEP成员国合作持续深化，更高水平开放型经济新体制基本形成。</w:t>
      </w:r>
    </w:p>
    <w:p w14:paraId="1EC66812">
      <w:pPr>
        <w:pageBreakBefore w:val="0"/>
        <w:widowControl w:val="0"/>
        <w:kinsoku/>
        <w:wordWrap/>
        <w:overflowPunct/>
        <w:topLinePunct w:val="0"/>
        <w:autoSpaceDE/>
        <w:autoSpaceDN/>
        <w:bidi w:val="0"/>
        <w:adjustRightInd/>
        <w:ind w:firstLine="643" w:firstLineChars="200"/>
        <w:textAlignment w:val="auto"/>
        <w:rPr>
          <w:rFonts w:hint="eastAsia"/>
        </w:rPr>
      </w:pPr>
      <w:r>
        <w:rPr>
          <w:rFonts w:hint="eastAsia"/>
          <w:b/>
          <w:bCs/>
        </w:rPr>
        <w:t>社会文明程度得到新提高。</w:t>
      </w:r>
      <w:r>
        <w:rPr>
          <w:rFonts w:hint="eastAsia"/>
        </w:rPr>
        <w:t>社会主义核心价值观深入人心，人民思想道德素质、科学文化素质和身心健康素质明显提升。公共文化服务体系更加健全，文旅深度融合取得实效，南江文化、长岗坡精神等特色文化品牌影响力持续扩大，城市文化软实力和凝聚力进一步增强。</w:t>
      </w:r>
    </w:p>
    <w:p w14:paraId="4D9762D3">
      <w:pPr>
        <w:pageBreakBefore w:val="0"/>
        <w:widowControl w:val="0"/>
        <w:kinsoku/>
        <w:wordWrap/>
        <w:overflowPunct/>
        <w:topLinePunct w:val="0"/>
        <w:autoSpaceDE/>
        <w:autoSpaceDN/>
        <w:bidi w:val="0"/>
        <w:adjustRightInd/>
        <w:ind w:firstLine="643" w:firstLineChars="200"/>
        <w:textAlignment w:val="auto"/>
        <w:rPr>
          <w:rFonts w:hint="eastAsia"/>
        </w:rPr>
      </w:pPr>
      <w:r>
        <w:rPr>
          <w:rFonts w:hint="eastAsia"/>
          <w:b/>
          <w:bCs/>
        </w:rPr>
        <w:t>生态文明建设获得新进步。</w:t>
      </w:r>
      <w:r>
        <w:rPr>
          <w:rFonts w:hint="eastAsia"/>
        </w:rPr>
        <w:t>国土空间开发保护格局持续优化，生态环境质量持续改善，主要污染物排放总量持续减少。单位地区生产总值能源消耗和二氧化碳排放降低完成上级下达目标，非化石能源消费比重稳步提升。森林覆盖率保持稳定并有所提高，绿水青山就是金山银山的转化路径更加畅通，绿美罗定生态建设取得显著成效。</w:t>
      </w:r>
    </w:p>
    <w:p w14:paraId="1804D5B8">
      <w:pPr>
        <w:pageBreakBefore w:val="0"/>
        <w:widowControl w:val="0"/>
        <w:kinsoku/>
        <w:wordWrap/>
        <w:overflowPunct/>
        <w:topLinePunct w:val="0"/>
        <w:autoSpaceDE/>
        <w:autoSpaceDN/>
        <w:bidi w:val="0"/>
        <w:adjustRightInd/>
        <w:ind w:firstLine="643" w:firstLineChars="200"/>
        <w:textAlignment w:val="auto"/>
        <w:rPr>
          <w:rFonts w:hint="eastAsia"/>
        </w:rPr>
      </w:pPr>
      <w:r>
        <w:rPr>
          <w:rFonts w:hint="eastAsia"/>
          <w:b/>
          <w:bCs/>
        </w:rPr>
        <w:t>民生福祉达到新水平。</w:t>
      </w:r>
      <w:r>
        <w:rPr>
          <w:rFonts w:hint="eastAsia"/>
        </w:rPr>
        <w:t>城乡居民人均可支配收入增长与经济增长基本同步，农村居民收入增速高于城镇居民，中等收入群体比重稳步扩大。基本公共服务均等化水平明显提升，高质量教育体系、卫生健康体系、社会保障体系更加健全。脱贫攻坚成果巩固拓展，乡村振兴战略全面推进。多层次住房保障体系加快构建。平安罗定、法治罗定建设达到更高水平，人民群众的获得感、幸福感、安全感更加充实、更有保障、更可持续。</w:t>
      </w:r>
    </w:p>
    <w:p w14:paraId="0BB1D3D0">
      <w:pPr>
        <w:pageBreakBefore w:val="0"/>
        <w:widowControl w:val="0"/>
        <w:kinsoku/>
        <w:wordWrap/>
        <w:overflowPunct/>
        <w:topLinePunct w:val="0"/>
        <w:autoSpaceDE/>
        <w:autoSpaceDN/>
        <w:bidi w:val="0"/>
        <w:adjustRightInd/>
        <w:ind w:firstLine="643" w:firstLineChars="200"/>
        <w:textAlignment w:val="auto"/>
        <w:rPr>
          <w:rFonts w:hint="eastAsia" w:ascii="Times New Roman" w:hAnsi="Times New Roman" w:eastAsia="黑体" w:cstheme="majorBidi"/>
          <w:kern w:val="2"/>
          <w:sz w:val="32"/>
          <w:szCs w:val="48"/>
          <w:lang w:val="en-US" w:eastAsia="zh-CN" w:bidi="ar-SA"/>
          <w14:ligatures w14:val="standardContextual"/>
        </w:rPr>
      </w:pPr>
      <w:r>
        <w:rPr>
          <w:rFonts w:hint="eastAsia"/>
          <w:b/>
          <w:bCs/>
        </w:rPr>
        <w:t>安全保障能力得到新增强。</w:t>
      </w:r>
      <w:r>
        <w:rPr>
          <w:rFonts w:hint="eastAsia"/>
        </w:rPr>
        <w:t>粮食综合生产能力稳步提升，能源资源供应保障更加有力。防范化解重大风险能力、突发公共事件应急处置能力和自然灾害防御能力显著增强，发展安全保障更加有力。</w:t>
      </w:r>
      <w:bookmarkStart w:id="11" w:name="_Toc201760811"/>
      <w:bookmarkStart w:id="12" w:name="_Toc201760803"/>
    </w:p>
    <w:p w14:paraId="79C5D0F0">
      <w:pPr>
        <w:pStyle w:val="3"/>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b/>
          <w:bCs/>
          <w:lang w:val="en-US" w:eastAsia="zh-CN"/>
        </w:rPr>
      </w:pPr>
      <w:r>
        <w:rPr>
          <w:rFonts w:hint="eastAsia"/>
          <w:lang w:val="en-US" w:eastAsia="zh-CN"/>
        </w:rPr>
        <w:t>五、重点任务</w:t>
      </w:r>
      <w:bookmarkEnd w:id="11"/>
      <w:bookmarkStart w:id="13" w:name="_Toc9775"/>
    </w:p>
    <w:p w14:paraId="0A85E1C5">
      <w:pPr>
        <w:pStyle w:val="3"/>
        <w:keepNext w:val="0"/>
        <w:keepLines w:val="0"/>
        <w:pageBreakBefore w:val="0"/>
        <w:widowControl w:val="0"/>
        <w:kinsoku/>
        <w:wordWrap/>
        <w:overflowPunct/>
        <w:topLinePunct w:val="0"/>
        <w:autoSpaceDE/>
        <w:autoSpaceDN/>
        <w:bidi w:val="0"/>
        <w:adjustRightInd/>
        <w:snapToGrid/>
        <w:spacing w:line="360" w:lineRule="auto"/>
        <w:ind w:firstLine="643" w:firstLineChars="200"/>
        <w:jc w:val="both"/>
        <w:textAlignment w:val="auto"/>
        <w:rPr>
          <w:rFonts w:hint="eastAsia" w:ascii="仿宋_GB2312" w:hAnsi="仿宋_GB2312" w:eastAsia="仿宋_GB2312" w:cs="仿宋_GB2312"/>
          <w:color w:val="000000"/>
          <w:kern w:val="2"/>
          <w:sz w:val="32"/>
          <w:szCs w:val="32"/>
          <w:lang w:val="en-US" w:eastAsia="zh-CN" w:bidi="ar-SA"/>
          <w14:ligatures w14:val="standardContextual"/>
        </w:rPr>
      </w:pPr>
      <w:r>
        <w:rPr>
          <w:rFonts w:hint="eastAsia" w:ascii="仿宋_GB2312" w:hAnsi="仿宋_GB2312" w:eastAsia="仿宋_GB2312" w:cs="仿宋_GB2312"/>
          <w:b/>
          <w:bCs/>
          <w:lang w:val="en-US" w:eastAsia="zh-CN"/>
        </w:rPr>
        <w:t>一是构建罗定特色现代化产业体系，培育新质生产力</w:t>
      </w:r>
      <w:bookmarkEnd w:id="13"/>
      <w:r>
        <w:rPr>
          <w:rFonts w:hint="eastAsia" w:ascii="仿宋_GB2312" w:hAnsi="仿宋_GB2312" w:eastAsia="仿宋_GB2312" w:cs="仿宋_GB2312"/>
          <w:b/>
          <w:bCs/>
          <w:lang w:val="en-US" w:eastAsia="zh-CN"/>
        </w:rPr>
        <w:t>。</w:t>
      </w:r>
      <w:bookmarkStart w:id="14" w:name="_Toc201760812"/>
      <w:r>
        <w:rPr>
          <w:rFonts w:hint="eastAsia" w:ascii="仿宋_GB2312" w:hAnsi="仿宋_GB2312" w:eastAsia="仿宋_GB2312" w:cs="仿宋_GB2312"/>
          <w:color w:val="000000"/>
          <w:kern w:val="2"/>
          <w:sz w:val="32"/>
          <w:szCs w:val="32"/>
          <w:lang w:val="en-US" w:eastAsia="zh-CN" w:bidi="ar-SA"/>
          <w14:ligatures w14:val="standardContextual"/>
        </w:rPr>
        <w:t>坚持智能化、绿色化、融合化发展方向，以产业基础高级化、产业链现代化为主攻方向，全面推进产业结构优化升级。聚焦六大主导产业，着力构建创新能力强、质量效益好、结构布局优的“</w:t>
      </w:r>
      <w:r>
        <w:rPr>
          <w:rFonts w:hint="eastAsia" w:ascii="Times New Roman" w:hAnsi="Times New Roman" w:eastAsia="仿宋_GB2312" w:cs="Times New Roman"/>
          <w:color w:val="000000"/>
          <w:kern w:val="2"/>
          <w:sz w:val="32"/>
          <w:szCs w:val="32"/>
          <w:lang w:val="en-US" w:eastAsia="zh-CN" w:bidi="ar-SA"/>
          <w14:ligatures w14:val="standardContextual"/>
        </w:rPr>
        <w:t>2+</w:t>
      </w:r>
      <w:r>
        <w:rPr>
          <w:rFonts w:hint="eastAsia" w:eastAsia="仿宋_GB2312" w:cs="Times New Roman"/>
          <w:color w:val="000000"/>
          <w:kern w:val="2"/>
          <w:sz w:val="32"/>
          <w:szCs w:val="32"/>
          <w:lang w:val="en-US" w:eastAsia="zh-CN" w:bidi="ar-SA"/>
          <w14:ligatures w14:val="standardContextual"/>
        </w:rPr>
        <w:t>4</w:t>
      </w:r>
      <w:r>
        <w:rPr>
          <w:rFonts w:hint="eastAsia" w:ascii="Times New Roman" w:hAnsi="Times New Roman" w:eastAsia="仿宋_GB2312" w:cs="Times New Roman"/>
          <w:color w:val="000000"/>
          <w:kern w:val="2"/>
          <w:sz w:val="32"/>
          <w:szCs w:val="32"/>
          <w:lang w:val="en-US" w:eastAsia="zh-CN" w:bidi="ar-SA"/>
          <w14:ligatures w14:val="standardContextual"/>
        </w:rPr>
        <w:t>+N</w:t>
      </w:r>
      <w:r>
        <w:rPr>
          <w:rFonts w:hint="eastAsia" w:ascii="仿宋_GB2312" w:hAnsi="仿宋_GB2312" w:eastAsia="仿宋_GB2312" w:cs="仿宋_GB2312"/>
          <w:color w:val="000000"/>
          <w:kern w:val="2"/>
          <w:sz w:val="32"/>
          <w:szCs w:val="32"/>
          <w:lang w:val="en-US" w:eastAsia="zh-CN" w:bidi="ar-SA"/>
          <w14:ligatures w14:val="standardContextual"/>
        </w:rPr>
        <w:t>”现代产业体系，建成粤北地区具有重要影响力的先进制造业基地，为罗定高质量发展注入强劲动力。</w:t>
      </w:r>
      <w:bookmarkEnd w:id="12"/>
      <w:bookmarkEnd w:id="14"/>
      <w:bookmarkStart w:id="15" w:name="_Toc26702"/>
      <w:bookmarkStart w:id="16" w:name="_Toc15314"/>
      <w:bookmarkStart w:id="17" w:name="_Toc201760826"/>
      <w:bookmarkStart w:id="18" w:name="_Toc201760807"/>
    </w:p>
    <w:p w14:paraId="49B025F3">
      <w:pPr>
        <w:pStyle w:val="3"/>
        <w:keepNext w:val="0"/>
        <w:keepLines w:val="0"/>
        <w:pageBreakBefore w:val="0"/>
        <w:widowControl w:val="0"/>
        <w:kinsoku/>
        <w:wordWrap/>
        <w:overflowPunct/>
        <w:topLinePunct w:val="0"/>
        <w:autoSpaceDE/>
        <w:autoSpaceDN/>
        <w:bidi w:val="0"/>
        <w:adjustRightInd/>
        <w:snapToGrid/>
        <w:spacing w:line="360" w:lineRule="auto"/>
        <w:ind w:firstLine="643" w:firstLineChars="200"/>
        <w:jc w:val="both"/>
        <w:textAlignment w:val="auto"/>
        <w:rPr>
          <w:rFonts w:hint="eastAsia" w:ascii="仿宋_GB2312" w:hAnsi="仿宋_GB2312" w:eastAsia="仿宋_GB2312" w:cs="仿宋_GB2312"/>
          <w:color w:val="000000"/>
          <w:kern w:val="2"/>
          <w:sz w:val="32"/>
          <w:szCs w:val="32"/>
          <w:lang w:val="en-US" w:eastAsia="zh-CN" w:bidi="ar-SA"/>
          <w14:ligatures w14:val="standardContextual"/>
        </w:rPr>
      </w:pPr>
      <w:r>
        <w:rPr>
          <w:rFonts w:hint="eastAsia" w:ascii="仿宋_GB2312" w:hAnsi="仿宋_GB2312" w:eastAsia="仿宋_GB2312" w:cs="仿宋_GB2312"/>
          <w:b/>
          <w:bCs/>
          <w:lang w:val="en-US" w:eastAsia="zh-CN"/>
        </w:rPr>
        <w:t>二是强化科技创新支撑，塑造发展新优势</w:t>
      </w:r>
      <w:bookmarkEnd w:id="15"/>
      <w:bookmarkEnd w:id="16"/>
      <w:bookmarkStart w:id="19" w:name="_Toc201760822"/>
      <w:bookmarkStart w:id="20" w:name="_Toc31795"/>
      <w:bookmarkStart w:id="21" w:name="_Toc201760823"/>
      <w:r>
        <w:rPr>
          <w:rFonts w:hint="eastAsia" w:ascii="仿宋_GB2312" w:hAnsi="仿宋_GB2312" w:eastAsia="仿宋_GB2312" w:cs="仿宋_GB2312"/>
          <w:b/>
          <w:bCs/>
          <w:lang w:val="en-US" w:eastAsia="zh-CN"/>
        </w:rPr>
        <w:t>。</w:t>
      </w:r>
      <w:r>
        <w:rPr>
          <w:rFonts w:hint="eastAsia" w:ascii="仿宋_GB2312" w:hAnsi="仿宋_GB2312" w:eastAsia="仿宋_GB2312" w:cs="仿宋_GB2312"/>
          <w:color w:val="000000"/>
          <w:kern w:val="2"/>
          <w:sz w:val="32"/>
          <w:szCs w:val="32"/>
          <w:lang w:val="en-US" w:eastAsia="zh-CN" w:bidi="ar-SA"/>
          <w14:ligatures w14:val="standardContextual"/>
        </w:rPr>
        <w:t>坚持创新在现代化建设全局中的核心地位，强化科技创新和产业创新深度融合，加快培育高素质科技人才，增强创新主体活力和内生动力，全面推进数字罗定建设，加快构建创新人才集聚、创新主体活跃、创新服务完善的综合生态系统，为发展新质生产力提供坚强保障，为引领罗定高质量发展提供核心驱动力。</w:t>
      </w:r>
      <w:bookmarkEnd w:id="19"/>
      <w:bookmarkEnd w:id="20"/>
      <w:bookmarkEnd w:id="21"/>
      <w:bookmarkStart w:id="22" w:name="_Toc19186"/>
      <w:bookmarkStart w:id="23" w:name="_Toc19941"/>
      <w:bookmarkStart w:id="24" w:name="_Toc2654"/>
    </w:p>
    <w:p w14:paraId="4470D544">
      <w:pPr>
        <w:pStyle w:val="3"/>
        <w:keepNext w:val="0"/>
        <w:keepLines w:val="0"/>
        <w:pageBreakBefore w:val="0"/>
        <w:widowControl w:val="0"/>
        <w:kinsoku/>
        <w:wordWrap/>
        <w:overflowPunct/>
        <w:topLinePunct w:val="0"/>
        <w:autoSpaceDE/>
        <w:autoSpaceDN/>
        <w:bidi w:val="0"/>
        <w:adjustRightInd/>
        <w:snapToGrid/>
        <w:spacing w:line="360" w:lineRule="auto"/>
        <w:ind w:firstLine="643" w:firstLineChars="200"/>
        <w:jc w:val="both"/>
        <w:textAlignment w:val="auto"/>
        <w:rPr>
          <w:rFonts w:hint="eastAsia" w:ascii="仿宋_GB2312" w:hAnsi="仿宋_GB2312" w:eastAsia="仿宋_GB2312" w:cs="仿宋_GB2312"/>
          <w:color w:val="000000"/>
          <w:kern w:val="2"/>
          <w:sz w:val="32"/>
          <w:szCs w:val="32"/>
          <w:lang w:val="en-US" w:eastAsia="zh-CN" w:bidi="ar-SA"/>
          <w14:ligatures w14:val="standardContextual"/>
        </w:rPr>
      </w:pPr>
      <w:r>
        <w:rPr>
          <w:rFonts w:hint="eastAsia" w:ascii="仿宋_GB2312" w:hAnsi="仿宋_GB2312" w:eastAsia="仿宋_GB2312" w:cs="仿宋_GB2312"/>
          <w:b/>
          <w:bCs/>
          <w:lang w:val="en-US" w:eastAsia="zh-CN"/>
        </w:rPr>
        <w:t>三是扩大内需畅通循环，增强经济发展内生动力</w:t>
      </w:r>
      <w:bookmarkEnd w:id="22"/>
      <w:bookmarkEnd w:id="23"/>
      <w:bookmarkEnd w:id="24"/>
      <w:r>
        <w:rPr>
          <w:rFonts w:hint="eastAsia" w:ascii="仿宋_GB2312" w:hAnsi="仿宋_GB2312" w:eastAsia="仿宋_GB2312" w:cs="仿宋_GB2312"/>
          <w:b/>
          <w:bCs/>
          <w:lang w:val="en-US" w:eastAsia="zh-CN"/>
        </w:rPr>
        <w:t>。</w:t>
      </w:r>
      <w:bookmarkStart w:id="25" w:name="_Toc23251"/>
      <w:bookmarkStart w:id="26" w:name="_Toc201760817"/>
      <w:bookmarkStart w:id="27" w:name="_Toc5713"/>
      <w:bookmarkStart w:id="28" w:name="_Toc201760819"/>
      <w:r>
        <w:rPr>
          <w:rFonts w:hint="eastAsia" w:ascii="仿宋_GB2312" w:hAnsi="仿宋_GB2312" w:eastAsia="仿宋_GB2312" w:cs="仿宋_GB2312"/>
          <w:color w:val="000000"/>
          <w:kern w:val="2"/>
          <w:sz w:val="32"/>
          <w:szCs w:val="32"/>
          <w:lang w:val="en-US" w:eastAsia="zh-CN" w:bidi="ar-SA"/>
          <w14:ligatures w14:val="standardContextual"/>
        </w:rPr>
        <w:t>深入实施扩大内需战略，提高供给质效，推动消费提质扩容，积极拓展有效投资空间，全面融入全国统一大市场，依托RCEP、“一带一路”贸易新机遇，深</w:t>
      </w:r>
      <w:bookmarkStart w:id="71" w:name="_GoBack"/>
      <w:bookmarkEnd w:id="71"/>
      <w:r>
        <w:rPr>
          <w:rFonts w:hint="eastAsia" w:ascii="仿宋_GB2312" w:hAnsi="仿宋_GB2312" w:eastAsia="仿宋_GB2312" w:cs="仿宋_GB2312"/>
          <w:color w:val="000000"/>
          <w:kern w:val="2"/>
          <w:sz w:val="32"/>
          <w:szCs w:val="32"/>
          <w:lang w:val="en-US" w:eastAsia="zh-CN" w:bidi="ar-SA"/>
          <w14:ligatures w14:val="standardContextual"/>
        </w:rPr>
        <w:t>度参与国际经济循环，形成以国内大市场为依托、以高质量供给创造新需求的内需循环新格局，为罗定经济高质量发展注入持久动力。</w:t>
      </w:r>
      <w:bookmarkEnd w:id="25"/>
      <w:bookmarkEnd w:id="26"/>
      <w:bookmarkEnd w:id="27"/>
      <w:bookmarkEnd w:id="28"/>
      <w:bookmarkStart w:id="29" w:name="_Toc4738"/>
      <w:bookmarkStart w:id="30" w:name="_Toc9941"/>
      <w:bookmarkStart w:id="31" w:name="_Toc21367"/>
    </w:p>
    <w:p w14:paraId="2E2E5A4E">
      <w:pPr>
        <w:pStyle w:val="3"/>
        <w:keepNext w:val="0"/>
        <w:keepLines w:val="0"/>
        <w:pageBreakBefore w:val="0"/>
        <w:widowControl w:val="0"/>
        <w:kinsoku/>
        <w:wordWrap/>
        <w:overflowPunct/>
        <w:topLinePunct w:val="0"/>
        <w:autoSpaceDE/>
        <w:autoSpaceDN/>
        <w:bidi w:val="0"/>
        <w:adjustRightInd/>
        <w:snapToGrid/>
        <w:spacing w:line="360" w:lineRule="auto"/>
        <w:ind w:firstLine="643" w:firstLineChars="200"/>
        <w:jc w:val="both"/>
        <w:textAlignment w:val="auto"/>
        <w:rPr>
          <w:rFonts w:hint="eastAsia" w:ascii="仿宋_GB2312" w:hAnsi="仿宋_GB2312" w:eastAsia="仿宋_GB2312" w:cs="仿宋_GB2312"/>
          <w:color w:val="000000"/>
          <w:kern w:val="2"/>
          <w:sz w:val="32"/>
          <w:szCs w:val="32"/>
          <w:lang w:val="en-US" w:eastAsia="zh-CN" w:bidi="ar-SA"/>
          <w14:ligatures w14:val="standardContextual"/>
        </w:rPr>
      </w:pPr>
      <w:r>
        <w:rPr>
          <w:rFonts w:hint="eastAsia" w:ascii="仿宋_GB2312" w:hAnsi="仿宋_GB2312" w:eastAsia="仿宋_GB2312" w:cs="仿宋_GB2312"/>
          <w:b/>
          <w:bCs/>
          <w:lang w:val="en-US" w:eastAsia="zh-CN"/>
        </w:rPr>
        <w:t>四是深化体制机制改革，营造良好营商环境</w:t>
      </w:r>
      <w:bookmarkEnd w:id="29"/>
      <w:bookmarkEnd w:id="30"/>
      <w:bookmarkEnd w:id="31"/>
      <w:r>
        <w:rPr>
          <w:rFonts w:hint="eastAsia" w:ascii="仿宋_GB2312" w:hAnsi="仿宋_GB2312" w:eastAsia="仿宋_GB2312" w:cs="仿宋_GB2312"/>
          <w:b/>
          <w:bCs/>
          <w:lang w:val="en-US" w:eastAsia="zh-CN"/>
        </w:rPr>
        <w:t>。</w:t>
      </w:r>
      <w:bookmarkStart w:id="32" w:name="_Toc242"/>
      <w:bookmarkStart w:id="33" w:name="_Toc3062"/>
      <w:r>
        <w:rPr>
          <w:rFonts w:hint="eastAsia" w:ascii="仿宋_GB2312" w:hAnsi="仿宋_GB2312" w:eastAsia="仿宋_GB2312" w:cs="仿宋_GB2312"/>
          <w:color w:val="000000"/>
          <w:kern w:val="2"/>
          <w:sz w:val="32"/>
          <w:szCs w:val="32"/>
          <w:lang w:val="en-US" w:eastAsia="zh-CN" w:bidi="ar-SA"/>
          <w14:ligatures w14:val="standardContextual"/>
        </w:rPr>
        <w:t>聚焦市场主体、要素配置、财税金融、营商环境等重点领域和关键环节，加快推进有利于提高资源配置效率的改革、有利于提高发展质量和效益的改革、有利于调动各方面积极性的改革，充分发挥市场在资源配置中的决定性作用，更好发挥政府作用，推动有效市场和有为政府更好结合，努力营造一流营商环境。</w:t>
      </w:r>
      <w:bookmarkEnd w:id="32"/>
      <w:bookmarkEnd w:id="33"/>
      <w:bookmarkStart w:id="34" w:name="_Toc22764"/>
    </w:p>
    <w:p w14:paraId="4E87F9DB">
      <w:pPr>
        <w:pStyle w:val="3"/>
        <w:keepNext w:val="0"/>
        <w:keepLines w:val="0"/>
        <w:pageBreakBefore w:val="0"/>
        <w:widowControl w:val="0"/>
        <w:kinsoku/>
        <w:wordWrap/>
        <w:overflowPunct/>
        <w:topLinePunct w:val="0"/>
        <w:autoSpaceDE/>
        <w:autoSpaceDN/>
        <w:bidi w:val="0"/>
        <w:adjustRightInd/>
        <w:snapToGrid/>
        <w:spacing w:line="360" w:lineRule="auto"/>
        <w:ind w:firstLine="643" w:firstLineChars="200"/>
        <w:jc w:val="both"/>
        <w:textAlignment w:val="auto"/>
        <w:rPr>
          <w:rFonts w:hint="eastAsia" w:ascii="仿宋_GB2312" w:hAnsi="仿宋_GB2312" w:eastAsia="仿宋_GB2312" w:cs="仿宋_GB2312"/>
          <w:color w:val="000000"/>
          <w:kern w:val="2"/>
          <w:sz w:val="32"/>
          <w:szCs w:val="32"/>
          <w:lang w:val="en-US" w:eastAsia="zh-CN" w:bidi="ar-SA"/>
          <w14:ligatures w14:val="standardContextual"/>
        </w:rPr>
      </w:pPr>
      <w:r>
        <w:rPr>
          <w:rFonts w:hint="eastAsia" w:ascii="仿宋_GB2312" w:hAnsi="仿宋_GB2312" w:eastAsia="仿宋_GB2312" w:cs="仿宋_GB2312"/>
          <w:b/>
          <w:bCs/>
          <w:lang w:val="en-US" w:eastAsia="zh-CN"/>
        </w:rPr>
        <w:t>五是推进“东融西联”战略，构建开放合作新格局</w:t>
      </w:r>
      <w:bookmarkEnd w:id="34"/>
      <w:r>
        <w:rPr>
          <w:rFonts w:hint="eastAsia" w:ascii="仿宋_GB2312" w:hAnsi="仿宋_GB2312" w:eastAsia="仿宋_GB2312" w:cs="仿宋_GB2312"/>
          <w:b/>
          <w:bCs/>
          <w:lang w:val="en-US" w:eastAsia="zh-CN"/>
        </w:rPr>
        <w:t>。</w:t>
      </w:r>
      <w:r>
        <w:rPr>
          <w:rFonts w:hint="eastAsia" w:ascii="仿宋_GB2312" w:hAnsi="仿宋_GB2312" w:eastAsia="仿宋_GB2312" w:cs="仿宋_GB2312"/>
          <w:color w:val="000000"/>
          <w:kern w:val="2"/>
          <w:sz w:val="32"/>
          <w:szCs w:val="32"/>
          <w:lang w:val="en-US" w:eastAsia="zh-CN" w:bidi="ar-SA"/>
          <w14:ligatures w14:val="standardContextual"/>
        </w:rPr>
        <w:t>坚持实施更大范围、更宽领域、更深层次对外开放，深度对接粤港澳大湾区建设和RCEP合作机遇，构建“东融西联”双向开放新格局，促进外贸优化升级，形成更高水平开放型经济新体制，将罗定打造成为粤港澳大湾区辐射带动大西南地区的重要节点和双向开放门户。</w:t>
      </w:r>
      <w:bookmarkStart w:id="35" w:name="_Toc8708"/>
    </w:p>
    <w:p w14:paraId="663B769D">
      <w:pPr>
        <w:pStyle w:val="3"/>
        <w:keepNext w:val="0"/>
        <w:keepLines w:val="0"/>
        <w:pageBreakBefore w:val="0"/>
        <w:widowControl w:val="0"/>
        <w:kinsoku/>
        <w:wordWrap/>
        <w:overflowPunct/>
        <w:topLinePunct w:val="0"/>
        <w:autoSpaceDE/>
        <w:autoSpaceDN/>
        <w:bidi w:val="0"/>
        <w:adjustRightInd/>
        <w:snapToGrid/>
        <w:spacing w:line="360" w:lineRule="auto"/>
        <w:ind w:firstLine="643" w:firstLineChars="200"/>
        <w:jc w:val="both"/>
        <w:textAlignment w:val="auto"/>
        <w:rPr>
          <w:rFonts w:hint="eastAsia" w:ascii="Times New Roman" w:hAnsi="Times New Roman" w:eastAsia="仿宋_GB2312" w:cs="Times New Roman"/>
          <w:sz w:val="32"/>
          <w:szCs w:val="32"/>
          <w:lang w:val="en-US" w:eastAsia="zh-CN"/>
        </w:rPr>
      </w:pPr>
      <w:r>
        <w:rPr>
          <w:rFonts w:hint="eastAsia" w:ascii="仿宋_GB2312" w:hAnsi="仿宋_GB2312" w:eastAsia="仿宋_GB2312" w:cs="仿宋_GB2312"/>
          <w:b/>
          <w:bCs/>
          <w:lang w:val="en-US" w:eastAsia="zh-CN"/>
        </w:rPr>
        <w:t>六是做强盆地特色农业，全面推进乡村振兴</w:t>
      </w:r>
      <w:bookmarkEnd w:id="35"/>
      <w:r>
        <w:rPr>
          <w:rFonts w:hint="eastAsia" w:ascii="仿宋_GB2312" w:hAnsi="仿宋_GB2312" w:eastAsia="仿宋_GB2312" w:cs="仿宋_GB2312"/>
          <w:b/>
          <w:bCs/>
          <w:lang w:val="en-US" w:eastAsia="zh-CN"/>
        </w:rPr>
        <w:t>。</w:t>
      </w:r>
      <w:r>
        <w:rPr>
          <w:rFonts w:hint="eastAsia" w:ascii="Times New Roman" w:hAnsi="Times New Roman" w:eastAsia="仿宋_GB2312" w:cs="Times New Roman"/>
          <w:sz w:val="32"/>
          <w:szCs w:val="32"/>
          <w:lang w:val="en-US" w:eastAsia="zh-CN"/>
        </w:rPr>
        <w:t>坚持农业农村优先发展，深入实施乡村振兴战略，以保障粮食安全为底线，以罗定盆地特色农业为基础，构建现代乡村产业体系、生产体系和经营体系</w:t>
      </w:r>
      <w:r>
        <w:rPr>
          <w:rFonts w:hint="eastAsia" w:cs="Times New Roman"/>
          <w:sz w:val="32"/>
          <w:szCs w:val="32"/>
          <w:lang w:val="en-US" w:eastAsia="zh-CN"/>
        </w:rPr>
        <w:t>，</w:t>
      </w:r>
      <w:r>
        <w:rPr>
          <w:rFonts w:hint="eastAsia" w:ascii="Times New Roman" w:hAnsi="Times New Roman" w:eastAsia="仿宋_GB2312" w:cs="Times New Roman"/>
          <w:sz w:val="32"/>
          <w:szCs w:val="32"/>
          <w:lang w:val="en-US" w:eastAsia="zh-CN"/>
        </w:rPr>
        <w:t>农业农村现代化水平走在粤北地区前列，为罗定实现共同富裕奠定坚实基础。</w:t>
      </w:r>
      <w:bookmarkEnd w:id="17"/>
      <w:bookmarkStart w:id="36" w:name="_Toc23696"/>
    </w:p>
    <w:p w14:paraId="3952295F">
      <w:pPr>
        <w:pStyle w:val="3"/>
        <w:keepNext w:val="0"/>
        <w:keepLines w:val="0"/>
        <w:pageBreakBefore w:val="0"/>
        <w:widowControl w:val="0"/>
        <w:kinsoku/>
        <w:wordWrap/>
        <w:overflowPunct/>
        <w:topLinePunct w:val="0"/>
        <w:autoSpaceDE/>
        <w:autoSpaceDN/>
        <w:bidi w:val="0"/>
        <w:adjustRightInd/>
        <w:snapToGrid/>
        <w:spacing w:line="360" w:lineRule="auto"/>
        <w:ind w:firstLine="643"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bCs/>
          <w:lang w:val="en-US" w:eastAsia="zh-CN"/>
        </w:rPr>
        <w:t>七是优化市域经济布局，推进以人为本的新型城镇化</w:t>
      </w:r>
      <w:bookmarkEnd w:id="36"/>
      <w:r>
        <w:rPr>
          <w:rFonts w:hint="eastAsia" w:ascii="仿宋_GB2312" w:hAnsi="仿宋_GB2312" w:eastAsia="仿宋_GB2312" w:cs="仿宋_GB2312"/>
          <w:b/>
          <w:bCs/>
          <w:lang w:val="en-US" w:eastAsia="zh-CN"/>
        </w:rPr>
        <w:t>。</w:t>
      </w:r>
      <w:r>
        <w:rPr>
          <w:rFonts w:hint="eastAsia" w:ascii="仿宋_GB2312" w:hAnsi="仿宋_GB2312" w:eastAsia="仿宋_GB2312" w:cs="仿宋_GB2312"/>
          <w:color w:val="auto"/>
          <w:sz w:val="32"/>
          <w:szCs w:val="32"/>
          <w:lang w:val="en-US" w:eastAsia="zh-CN"/>
        </w:rPr>
        <w:t>立足罗定市资源环境承载能力和国土空间开发适宜性，坚持以人民为中心的发展思想，以提升城市综合承载能力和宜居宜业水平为重点，推动城乡要素平等交换、双向流动，健全城乡融合发展体制机制</w:t>
      </w:r>
      <w:r>
        <w:rPr>
          <w:rFonts w:hint="eastAsia" w:ascii="仿宋_GB2312" w:hAnsi="仿宋_GB2312" w:cs="仿宋_GB2312"/>
          <w:color w:val="auto"/>
          <w:sz w:val="32"/>
          <w:szCs w:val="32"/>
          <w:lang w:val="en-US" w:eastAsia="zh-CN"/>
        </w:rPr>
        <w:t>，</w:t>
      </w:r>
      <w:r>
        <w:rPr>
          <w:rFonts w:hint="eastAsia" w:ascii="仿宋_GB2312" w:hAnsi="仿宋_GB2312" w:eastAsia="仿宋_GB2312" w:cs="仿宋_GB2312"/>
          <w:color w:val="auto"/>
          <w:sz w:val="32"/>
          <w:szCs w:val="32"/>
          <w:lang w:val="en-US" w:eastAsia="zh-CN"/>
        </w:rPr>
        <w:t>人民群众获得感、幸福感、安全感持续增强。</w:t>
      </w:r>
      <w:bookmarkStart w:id="37" w:name="_Toc18471"/>
      <w:bookmarkStart w:id="38" w:name="_Toc2819"/>
      <w:r>
        <w:rPr>
          <w:rFonts w:hint="eastAsia" w:ascii="仿宋_GB2312" w:hAnsi="仿宋_GB2312" w:eastAsia="仿宋_GB2312" w:cs="仿宋_GB2312"/>
          <w:color w:val="auto"/>
          <w:sz w:val="32"/>
          <w:szCs w:val="32"/>
          <w:lang w:val="en-US" w:eastAsia="zh-CN"/>
        </w:rPr>
        <w:t xml:space="preserve"> </w:t>
      </w:r>
    </w:p>
    <w:p w14:paraId="6930E845">
      <w:pPr>
        <w:pStyle w:val="3"/>
        <w:keepNext w:val="0"/>
        <w:keepLines w:val="0"/>
        <w:pageBreakBefore w:val="0"/>
        <w:widowControl w:val="0"/>
        <w:kinsoku/>
        <w:wordWrap/>
        <w:overflowPunct/>
        <w:topLinePunct w:val="0"/>
        <w:autoSpaceDE/>
        <w:autoSpaceDN/>
        <w:bidi w:val="0"/>
        <w:adjustRightInd/>
        <w:snapToGrid/>
        <w:spacing w:line="360" w:lineRule="auto"/>
        <w:ind w:firstLine="643" w:firstLineChars="200"/>
        <w:jc w:val="both"/>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b/>
          <w:bCs/>
          <w:lang w:val="en-US" w:eastAsia="zh-CN"/>
        </w:rPr>
        <w:t>八是持续加强基础设施建设，夯实经济高质量发展基础</w:t>
      </w:r>
      <w:bookmarkEnd w:id="37"/>
      <w:bookmarkEnd w:id="38"/>
      <w:r>
        <w:rPr>
          <w:rFonts w:hint="eastAsia" w:ascii="仿宋_GB2312" w:hAnsi="仿宋_GB2312" w:eastAsia="仿宋_GB2312" w:cs="仿宋_GB2312"/>
          <w:b/>
          <w:bCs/>
          <w:lang w:val="en-US" w:eastAsia="zh-CN"/>
        </w:rPr>
        <w:t>。</w:t>
      </w:r>
      <w:bookmarkStart w:id="39" w:name="_Toc26550"/>
      <w:bookmarkStart w:id="40" w:name="_Toc30756"/>
      <w:r>
        <w:rPr>
          <w:rFonts w:hint="eastAsia" w:ascii="仿宋_GB2312" w:hAnsi="仿宋_GB2312" w:eastAsia="仿宋_GB2312" w:cs="仿宋_GB2312"/>
          <w:color w:val="auto"/>
          <w:sz w:val="32"/>
          <w:szCs w:val="32"/>
          <w:lang w:val="en-US" w:eastAsia="zh-CN"/>
        </w:rPr>
        <w:t>加快完善现代化综合交通运输体系</w:t>
      </w:r>
      <w:r>
        <w:rPr>
          <w:rFonts w:hint="default" w:ascii="仿宋_GB2312" w:hAnsi="仿宋_GB2312" w:eastAsia="仿宋_GB2312" w:cs="仿宋_GB2312"/>
          <w:color w:val="auto"/>
          <w:sz w:val="32"/>
          <w:szCs w:val="32"/>
          <w:lang w:val="en-US" w:eastAsia="zh-CN"/>
        </w:rPr>
        <w:t>，提升综合运输服务质量效率，积极优化能源</w:t>
      </w:r>
      <w:r>
        <w:rPr>
          <w:rFonts w:hint="eastAsia" w:ascii="仿宋_GB2312" w:hAnsi="仿宋_GB2312" w:eastAsia="仿宋_GB2312" w:cs="仿宋_GB2312"/>
          <w:color w:val="auto"/>
          <w:sz w:val="32"/>
          <w:szCs w:val="32"/>
          <w:lang w:val="en-US" w:eastAsia="zh-CN"/>
        </w:rPr>
        <w:t>网络</w:t>
      </w:r>
      <w:r>
        <w:rPr>
          <w:rFonts w:hint="default" w:ascii="仿宋_GB2312" w:hAnsi="仿宋_GB2312" w:eastAsia="仿宋_GB2312" w:cs="仿宋_GB2312"/>
          <w:color w:val="auto"/>
          <w:sz w:val="32"/>
          <w:szCs w:val="32"/>
          <w:lang w:val="en-US" w:eastAsia="zh-CN"/>
        </w:rPr>
        <w:t>运行体系，加快建设安全韧性水网，适度超前布局、集约部署</w:t>
      </w:r>
      <w:r>
        <w:rPr>
          <w:rFonts w:hint="eastAsia" w:ascii="仿宋_GB2312" w:hAnsi="仿宋_GB2312" w:eastAsia="仿宋_GB2312" w:cs="仿宋_GB2312"/>
          <w:color w:val="auto"/>
          <w:sz w:val="32"/>
          <w:szCs w:val="32"/>
          <w:lang w:val="en-US" w:eastAsia="zh-CN"/>
        </w:rPr>
        <w:t>“</w:t>
      </w:r>
      <w:r>
        <w:rPr>
          <w:rFonts w:hint="default" w:ascii="仿宋_GB2312" w:hAnsi="仿宋_GB2312" w:eastAsia="仿宋_GB2312" w:cs="仿宋_GB2312"/>
          <w:color w:val="auto"/>
          <w:sz w:val="32"/>
          <w:szCs w:val="32"/>
          <w:lang w:val="en-US" w:eastAsia="zh-CN"/>
        </w:rPr>
        <w:t>智慧城市</w:t>
      </w:r>
      <w:r>
        <w:rPr>
          <w:rFonts w:hint="eastAsia" w:ascii="仿宋_GB2312" w:hAnsi="仿宋_GB2312" w:eastAsia="仿宋_GB2312" w:cs="仿宋_GB2312"/>
          <w:color w:val="auto"/>
          <w:sz w:val="32"/>
          <w:szCs w:val="32"/>
          <w:lang w:val="en-US" w:eastAsia="zh-CN"/>
        </w:rPr>
        <w:t>”</w:t>
      </w:r>
      <w:r>
        <w:rPr>
          <w:rFonts w:hint="default" w:ascii="仿宋_GB2312" w:hAnsi="仿宋_GB2312" w:eastAsia="仿宋_GB2312" w:cs="仿宋_GB2312"/>
          <w:color w:val="auto"/>
          <w:sz w:val="32"/>
          <w:szCs w:val="32"/>
          <w:lang w:val="en-US" w:eastAsia="zh-CN"/>
        </w:rPr>
        <w:t>基础设施，夯实经济高质量发展的基础设施保障。</w:t>
      </w:r>
      <w:bookmarkEnd w:id="18"/>
      <w:bookmarkEnd w:id="39"/>
      <w:bookmarkEnd w:id="40"/>
      <w:bookmarkStart w:id="41" w:name="_Toc32261"/>
      <w:bookmarkStart w:id="42" w:name="_Toc201760831"/>
    </w:p>
    <w:p w14:paraId="749F908F">
      <w:pPr>
        <w:pStyle w:val="3"/>
        <w:keepNext w:val="0"/>
        <w:keepLines w:val="0"/>
        <w:pageBreakBefore w:val="0"/>
        <w:widowControl w:val="0"/>
        <w:kinsoku/>
        <w:wordWrap/>
        <w:overflowPunct/>
        <w:topLinePunct w:val="0"/>
        <w:autoSpaceDE/>
        <w:autoSpaceDN/>
        <w:bidi w:val="0"/>
        <w:adjustRightInd/>
        <w:snapToGrid/>
        <w:spacing w:line="360" w:lineRule="auto"/>
        <w:ind w:firstLine="643"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bCs/>
          <w:lang w:val="en-US" w:eastAsia="zh-CN"/>
        </w:rPr>
        <w:t>九是繁荣发展文化事业产业，提升城市软实力</w:t>
      </w:r>
      <w:bookmarkEnd w:id="41"/>
      <w:r>
        <w:rPr>
          <w:rFonts w:hint="eastAsia" w:ascii="仿宋_GB2312" w:hAnsi="仿宋_GB2312" w:eastAsia="仿宋_GB2312" w:cs="仿宋_GB2312"/>
          <w:b/>
          <w:bCs/>
          <w:lang w:val="en-US" w:eastAsia="zh-CN"/>
        </w:rPr>
        <w:t>。</w:t>
      </w:r>
      <w:bookmarkStart w:id="43" w:name="_Toc201760837"/>
      <w:r>
        <w:rPr>
          <w:rFonts w:hint="eastAsia" w:ascii="仿宋_GB2312" w:hAnsi="仿宋_GB2312" w:eastAsia="仿宋_GB2312" w:cs="仿宋_GB2312"/>
          <w:color w:val="auto"/>
          <w:sz w:val="32"/>
          <w:szCs w:val="32"/>
          <w:lang w:val="en-US" w:eastAsia="zh-CN"/>
        </w:rPr>
        <w:t>坚持社会主义文化发展道路，以社会主义核心价值观为引领，着力完善现代公共文化服务体系，推动文化事业和文化产业繁荣发展，为罗定现代化建设提供强大价值引导力、文化凝聚力和精神推动力。</w:t>
      </w:r>
    </w:p>
    <w:bookmarkEnd w:id="42"/>
    <w:bookmarkEnd w:id="43"/>
    <w:p w14:paraId="30349D35">
      <w:pPr>
        <w:pStyle w:val="3"/>
        <w:keepNext w:val="0"/>
        <w:keepLines w:val="0"/>
        <w:pageBreakBefore w:val="0"/>
        <w:widowControl w:val="0"/>
        <w:kinsoku/>
        <w:wordWrap/>
        <w:overflowPunct/>
        <w:topLinePunct w:val="0"/>
        <w:autoSpaceDE/>
        <w:autoSpaceDN/>
        <w:bidi w:val="0"/>
        <w:adjustRightInd/>
        <w:snapToGrid/>
        <w:spacing w:line="360" w:lineRule="auto"/>
        <w:ind w:firstLine="643" w:firstLineChars="200"/>
        <w:jc w:val="both"/>
        <w:textAlignment w:val="auto"/>
        <w:rPr>
          <w:rFonts w:hint="eastAsia"/>
          <w:lang w:val="en-US" w:eastAsia="zh-CN"/>
        </w:rPr>
      </w:pPr>
      <w:bookmarkStart w:id="44" w:name="_Toc32055"/>
      <w:bookmarkStart w:id="45" w:name="_Toc5797"/>
      <w:r>
        <w:rPr>
          <w:rFonts w:hint="eastAsia" w:ascii="仿宋_GB2312" w:hAnsi="仿宋_GB2312" w:eastAsia="仿宋_GB2312" w:cs="仿宋_GB2312"/>
          <w:b/>
          <w:bCs/>
          <w:lang w:val="en-US" w:eastAsia="zh-CN"/>
        </w:rPr>
        <w:t>十是持续改善民生福祉，推进共同富裕</w:t>
      </w:r>
      <w:bookmarkEnd w:id="44"/>
      <w:bookmarkEnd w:id="45"/>
      <w:r>
        <w:rPr>
          <w:rFonts w:hint="eastAsia" w:ascii="仿宋_GB2312" w:hAnsi="仿宋_GB2312" w:eastAsia="仿宋_GB2312" w:cs="仿宋_GB2312"/>
          <w:b/>
          <w:bCs/>
          <w:lang w:val="en-US" w:eastAsia="zh-CN"/>
        </w:rPr>
        <w:t>。</w:t>
      </w:r>
      <w:bookmarkStart w:id="46" w:name="_Toc4434"/>
      <w:bookmarkStart w:id="47" w:name="_Toc7860"/>
      <w:bookmarkStart w:id="48" w:name="_Toc201760842"/>
      <w:r>
        <w:rPr>
          <w:rFonts w:hint="eastAsia" w:ascii="仿宋_GB2312" w:hAnsi="仿宋_GB2312" w:eastAsia="仿宋_GB2312" w:cs="仿宋_GB2312"/>
          <w:color w:val="auto"/>
          <w:sz w:val="32"/>
          <w:szCs w:val="32"/>
          <w:lang w:val="en-US" w:eastAsia="zh-CN"/>
        </w:rPr>
        <w:t>坚持“民生优生”发展战略，健全高质量充分就业促进机制，推动富民增收落地见效，提高优质医疗和教育资源供给能力和覆盖水平，优化多层次社会保障体系，推动人口高质量发展，持续增进民生福祉，扎实推进共同富裕，不断实现人民对美好生活的向往。</w:t>
      </w:r>
    </w:p>
    <w:bookmarkEnd w:id="46"/>
    <w:bookmarkEnd w:id="47"/>
    <w:bookmarkEnd w:id="48"/>
    <w:p w14:paraId="0B98E285">
      <w:pPr>
        <w:pStyle w:val="3"/>
        <w:keepNext w:val="0"/>
        <w:keepLines w:val="0"/>
        <w:pageBreakBefore w:val="0"/>
        <w:widowControl w:val="0"/>
        <w:kinsoku/>
        <w:wordWrap/>
        <w:overflowPunct/>
        <w:topLinePunct w:val="0"/>
        <w:autoSpaceDE/>
        <w:autoSpaceDN/>
        <w:bidi w:val="0"/>
        <w:adjustRightInd/>
        <w:snapToGrid/>
        <w:spacing w:line="360" w:lineRule="auto"/>
        <w:ind w:firstLine="643" w:firstLineChars="200"/>
        <w:jc w:val="both"/>
        <w:textAlignment w:val="auto"/>
        <w:rPr>
          <w:rFonts w:hint="eastAsia" w:ascii="仿宋_GB2312" w:hAnsi="仿宋_GB2312" w:eastAsia="仿宋_GB2312" w:cs="仿宋_GB2312"/>
          <w:color w:val="auto"/>
          <w:sz w:val="32"/>
          <w:szCs w:val="32"/>
          <w:lang w:val="en-US" w:eastAsia="zh-CN"/>
        </w:rPr>
      </w:pPr>
      <w:bookmarkStart w:id="49" w:name="_Toc23904"/>
      <w:bookmarkStart w:id="50" w:name="_Toc28078"/>
      <w:bookmarkStart w:id="51" w:name="_Toc29152"/>
      <w:bookmarkStart w:id="52" w:name="_Toc201760846"/>
      <w:r>
        <w:rPr>
          <w:rFonts w:hint="eastAsia" w:ascii="仿宋_GB2312" w:hAnsi="仿宋_GB2312" w:eastAsia="仿宋_GB2312" w:cs="仿宋_GB2312"/>
          <w:b/>
          <w:bCs/>
          <w:lang w:val="en-US" w:eastAsia="zh-CN"/>
        </w:rPr>
        <w:t>十一是推进绿色低碳发展，建设绿美罗定</w:t>
      </w:r>
      <w:bookmarkEnd w:id="49"/>
      <w:bookmarkEnd w:id="50"/>
      <w:bookmarkEnd w:id="51"/>
      <w:r>
        <w:rPr>
          <w:rFonts w:hint="eastAsia" w:ascii="仿宋_GB2312" w:hAnsi="仿宋_GB2312" w:eastAsia="仿宋_GB2312" w:cs="仿宋_GB2312"/>
          <w:b/>
          <w:bCs/>
          <w:lang w:val="en-US" w:eastAsia="zh-CN"/>
        </w:rPr>
        <w:t>。</w:t>
      </w:r>
      <w:bookmarkStart w:id="53" w:name="_Toc27891"/>
      <w:bookmarkStart w:id="54" w:name="_Toc201760804"/>
      <w:bookmarkStart w:id="55" w:name="_Toc13541"/>
      <w:bookmarkStart w:id="56" w:name="_Toc201760806"/>
      <w:r>
        <w:rPr>
          <w:rFonts w:hint="eastAsia" w:ascii="仿宋_GB2312" w:hAnsi="仿宋_GB2312" w:eastAsia="仿宋_GB2312" w:cs="仿宋_GB2312"/>
          <w:color w:val="auto"/>
          <w:sz w:val="32"/>
          <w:szCs w:val="32"/>
          <w:lang w:val="en-US" w:eastAsia="zh-CN"/>
        </w:rPr>
        <w:t>深入践行绿水青山就是金山银山重要理念，持续提升生态环境质量，加大“山水林田湖草”保护修复力度，推动经济社会发展绿色化、低碳化转型，加快健全生态产品价值实现机制，厚植绿色发展新优势，增强绿色发展新动能，高水平建设绿美罗定。</w:t>
      </w:r>
      <w:bookmarkEnd w:id="53"/>
      <w:bookmarkEnd w:id="54"/>
      <w:bookmarkEnd w:id="55"/>
      <w:bookmarkEnd w:id="56"/>
      <w:bookmarkStart w:id="57" w:name="_Toc20828"/>
      <w:bookmarkStart w:id="58" w:name="_Toc32716"/>
      <w:bookmarkStart w:id="59" w:name="_Toc9734"/>
    </w:p>
    <w:bookmarkEnd w:id="52"/>
    <w:p w14:paraId="4D7BA6D2">
      <w:pPr>
        <w:pStyle w:val="3"/>
        <w:keepNext w:val="0"/>
        <w:keepLines w:val="0"/>
        <w:pageBreakBefore w:val="0"/>
        <w:widowControl w:val="0"/>
        <w:kinsoku/>
        <w:wordWrap/>
        <w:overflowPunct/>
        <w:topLinePunct w:val="0"/>
        <w:autoSpaceDE/>
        <w:autoSpaceDN/>
        <w:bidi w:val="0"/>
        <w:adjustRightInd/>
        <w:snapToGrid/>
        <w:spacing w:line="360" w:lineRule="auto"/>
        <w:ind w:firstLine="643"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bCs/>
          <w:lang w:val="en-US" w:eastAsia="zh-CN"/>
        </w:rPr>
        <w:t>十二是统筹发展和安全，建设更高水平平安罗定</w:t>
      </w:r>
      <w:bookmarkEnd w:id="57"/>
      <w:bookmarkEnd w:id="58"/>
      <w:bookmarkEnd w:id="59"/>
      <w:r>
        <w:rPr>
          <w:rFonts w:hint="eastAsia" w:ascii="仿宋_GB2312" w:hAnsi="仿宋_GB2312" w:eastAsia="仿宋_GB2312" w:cs="仿宋_GB2312"/>
          <w:b/>
          <w:bCs/>
          <w:lang w:val="en-US" w:eastAsia="zh-CN"/>
        </w:rPr>
        <w:t>。</w:t>
      </w:r>
      <w:bookmarkStart w:id="60" w:name="_Toc11108"/>
      <w:bookmarkStart w:id="61" w:name="_Toc14420"/>
      <w:bookmarkStart w:id="62" w:name="_Toc201760847"/>
      <w:bookmarkStart w:id="63" w:name="_Hlk201734106"/>
      <w:r>
        <w:rPr>
          <w:rFonts w:hint="eastAsia" w:ascii="仿宋_GB2312" w:hAnsi="仿宋_GB2312" w:eastAsia="仿宋_GB2312" w:cs="仿宋_GB2312"/>
          <w:color w:val="auto"/>
          <w:sz w:val="32"/>
          <w:szCs w:val="32"/>
          <w:lang w:val="en-US" w:eastAsia="zh-CN"/>
        </w:rPr>
        <w:t>坚持统筹发展和安全，聚焦防范化解重点领域重大风险，建设更高水平平安罗定，筑牢安全屏障。提升公共安全治理能力，增强突发公共事件应急能力，加快完善社会治理体系，建设基础更牢、水平更高、群众更满意的“法治罗定”。</w:t>
      </w:r>
      <w:bookmarkEnd w:id="60"/>
      <w:bookmarkEnd w:id="61"/>
      <w:bookmarkEnd w:id="62"/>
      <w:bookmarkEnd w:id="63"/>
      <w:bookmarkStart w:id="64" w:name="_Toc12775"/>
      <w:bookmarkStart w:id="65" w:name="_Toc201760850"/>
      <w:bookmarkStart w:id="66" w:name="_Toc8073"/>
      <w:bookmarkStart w:id="67" w:name="_Toc21906"/>
    </w:p>
    <w:p w14:paraId="67EA8772">
      <w:pPr>
        <w:pStyle w:val="3"/>
        <w:keepNext w:val="0"/>
        <w:keepLines w:val="0"/>
        <w:pageBreakBefore w:val="0"/>
        <w:widowControl w:val="0"/>
        <w:numPr>
          <w:ilvl w:val="0"/>
          <w:numId w:val="0"/>
        </w:numPr>
        <w:kinsoku/>
        <w:wordWrap/>
        <w:overflowPunct/>
        <w:topLinePunct w:val="0"/>
        <w:autoSpaceDE/>
        <w:autoSpaceDN/>
        <w:bidi w:val="0"/>
        <w:adjustRightInd/>
        <w:snapToGrid/>
        <w:spacing w:line="600" w:lineRule="auto"/>
        <w:ind w:firstLine="640" w:firstLineChars="200"/>
        <w:jc w:val="both"/>
        <w:textAlignment w:val="auto"/>
        <w:rPr>
          <w:rFonts w:hint="eastAsia"/>
          <w:lang w:val="en-US" w:eastAsia="zh-CN"/>
        </w:rPr>
      </w:pPr>
      <w:r>
        <w:rPr>
          <w:rFonts w:hint="eastAsia" w:ascii="Times New Roman" w:hAnsi="Times New Roman" w:eastAsia="黑体" w:cstheme="majorBidi"/>
          <w:kern w:val="2"/>
          <w:sz w:val="32"/>
          <w:szCs w:val="48"/>
          <w:lang w:val="en-US" w:eastAsia="zh-CN" w:bidi="ar-SA"/>
          <w14:ligatures w14:val="standardContextual"/>
        </w:rPr>
        <w:t>六、</w:t>
      </w:r>
      <w:r>
        <w:rPr>
          <w:rFonts w:hint="eastAsia"/>
          <w:lang w:val="en-US" w:eastAsia="zh-CN"/>
        </w:rPr>
        <w:t>实施保障</w:t>
      </w:r>
      <w:bookmarkEnd w:id="64"/>
      <w:bookmarkEnd w:id="65"/>
      <w:bookmarkEnd w:id="66"/>
      <w:bookmarkEnd w:id="67"/>
      <w:bookmarkStart w:id="68" w:name="_Toc31365"/>
      <w:bookmarkStart w:id="69" w:name="_Toc201760851"/>
      <w:bookmarkStart w:id="70" w:name="_Toc19144"/>
    </w:p>
    <w:p w14:paraId="3B673C0F">
      <w:pPr>
        <w:pStyle w:val="3"/>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3" w:firstLineChars="200"/>
        <w:jc w:val="both"/>
        <w:textAlignment w:val="auto"/>
        <w:rPr>
          <w:rFonts w:hint="eastAsia"/>
          <w:lang w:val="en-US" w:eastAsia="zh-CN"/>
        </w:rPr>
      </w:pPr>
      <w:r>
        <w:rPr>
          <w:rFonts w:hint="eastAsia" w:ascii="仿宋_GB2312" w:hAnsi="仿宋_GB2312" w:eastAsia="仿宋_GB2312" w:cs="仿宋_GB2312"/>
          <w:b/>
          <w:bCs/>
          <w:kern w:val="2"/>
          <w:sz w:val="32"/>
          <w:szCs w:val="48"/>
          <w:lang w:val="en-US" w:eastAsia="zh-CN" w:bidi="ar-SA"/>
          <w14:ligatures w14:val="standardContextual"/>
        </w:rPr>
        <w:t>一是坚持和加强党的全面领导</w:t>
      </w:r>
      <w:r>
        <w:rPr>
          <w:rFonts w:hint="eastAsia"/>
          <w:lang w:val="en-US" w:eastAsia="zh-CN"/>
        </w:rPr>
        <w:t>。</w:t>
      </w:r>
      <w:bookmarkEnd w:id="68"/>
      <w:bookmarkEnd w:id="69"/>
      <w:bookmarkEnd w:id="70"/>
      <w:r>
        <w:rPr>
          <w:rFonts w:hint="eastAsia" w:ascii="仿宋_GB2312" w:hAnsi="仿宋_GB2312" w:eastAsia="仿宋_GB2312" w:cs="仿宋_GB2312"/>
          <w:b w:val="0"/>
          <w:color w:val="auto"/>
          <w:kern w:val="2"/>
          <w:sz w:val="32"/>
          <w:szCs w:val="32"/>
          <w:lang w:val="en-US" w:eastAsia="zh-CN" w:bidi="ar-SA"/>
          <w14:ligatures w14:val="standardContextual"/>
        </w:rPr>
        <w:t>坚持用习近平新时代中国特色社会主义思想定向领航，贯彻党的创新理论统一思想、统一意志、统一行动，坚定拥护“两个确立”、坚决做到“两个维护”，将党的领导贯彻到推动规划实施的各领域全过程，全面加强党对社会经济发展过程的全周期管理，确保各项经济社会事业始终沿着正确方向前进。</w:t>
      </w:r>
    </w:p>
    <w:p w14:paraId="085E60E9">
      <w:pPr>
        <w:pageBreakBefore w:val="0"/>
        <w:widowControl w:val="0"/>
        <w:kinsoku/>
        <w:wordWrap/>
        <w:overflowPunct/>
        <w:topLinePunct w:val="0"/>
        <w:autoSpaceDE/>
        <w:autoSpaceDN/>
        <w:bidi w:val="0"/>
        <w:adjustRightInd/>
        <w:textAlignment w:val="auto"/>
        <w:rPr>
          <w:rFonts w:hint="eastAsia"/>
          <w:lang w:val="en-US" w:eastAsia="zh-CN"/>
        </w:rPr>
      </w:pPr>
      <w:r>
        <w:rPr>
          <w:rFonts w:hint="eastAsia"/>
          <w:b/>
          <w:bCs/>
          <w:lang w:val="en-US" w:eastAsia="zh-CN"/>
        </w:rPr>
        <w:t>二是加强组织领导。</w:t>
      </w:r>
      <w:r>
        <w:rPr>
          <w:rFonts w:hint="eastAsia"/>
          <w:lang w:val="en-US" w:eastAsia="zh-CN"/>
        </w:rPr>
        <w:t>建立“十五五”规划纲要实施协调管理机制，成立由分管市领导牵头，发改、工信商务、财政、农业农村、自然资源等相关部门负责人组成的联席会议制度，围绕规划纲要目标和任务，加强分工合作和经济社会政策的统筹协调。建立常态化会议机制，定期研判并解决规划实施中的重大问题，明确各部门职责分工，强化跨部门协同联动，形成高效推进合力，确保规划任务有序落地。</w:t>
      </w:r>
    </w:p>
    <w:p w14:paraId="1F675026">
      <w:pPr>
        <w:pageBreakBefore w:val="0"/>
        <w:widowControl w:val="0"/>
        <w:kinsoku/>
        <w:wordWrap/>
        <w:overflowPunct/>
        <w:topLinePunct w:val="0"/>
        <w:autoSpaceDE/>
        <w:autoSpaceDN/>
        <w:bidi w:val="0"/>
        <w:adjustRightInd/>
        <w:textAlignment w:val="auto"/>
        <w:rPr>
          <w:rFonts w:hint="eastAsia"/>
          <w:lang w:val="en-US" w:eastAsia="zh-CN"/>
        </w:rPr>
      </w:pPr>
      <w:r>
        <w:rPr>
          <w:rFonts w:hint="eastAsia"/>
          <w:b/>
          <w:bCs/>
          <w:lang w:val="en-US" w:eastAsia="zh-CN"/>
        </w:rPr>
        <w:t>三是推进重大项目。</w:t>
      </w:r>
      <w:r>
        <w:rPr>
          <w:rFonts w:hint="eastAsia"/>
          <w:lang w:val="en-US" w:eastAsia="zh-CN"/>
        </w:rPr>
        <w:t>突出重大项目对规划纲要实施的支撑作用，抓好产业发展、城乡建设、生态治理等领域项目的研究、储备、论证、调度和建设，完善重大项目库，实行动态管理、滚动推进。落实项目实施主体，鼓励和引导民间投资聚焦实体经济，努力建立依托市场、面向社会的多元化融资渠道。加强对企业自主实施项目的服务，及时协调解决建设中的困难和问题，促进项目顺利实施。</w:t>
      </w:r>
    </w:p>
    <w:p w14:paraId="02BBF652">
      <w:pPr>
        <w:pageBreakBefore w:val="0"/>
        <w:widowControl w:val="0"/>
        <w:kinsoku/>
        <w:wordWrap/>
        <w:overflowPunct/>
        <w:topLinePunct w:val="0"/>
        <w:autoSpaceDE/>
        <w:autoSpaceDN/>
        <w:bidi w:val="0"/>
        <w:adjustRightInd/>
        <w:textAlignment w:val="auto"/>
        <w:rPr>
          <w:rFonts w:hint="default"/>
          <w:lang w:val="en-US" w:eastAsia="zh-CN"/>
        </w:rPr>
      </w:pPr>
      <w:r>
        <w:rPr>
          <w:rFonts w:hint="eastAsia"/>
          <w:b/>
          <w:bCs/>
          <w:lang w:val="en-US" w:eastAsia="zh-CN"/>
        </w:rPr>
        <w:t>四是加强要素保障。</w:t>
      </w:r>
      <w:r>
        <w:rPr>
          <w:rFonts w:hint="eastAsia"/>
          <w:lang w:val="en-US" w:eastAsia="zh-CN"/>
        </w:rPr>
        <w:t>加强财政预算与规划实施的衔接协调，根据各镇（街）资源禀赋、发展导向，建立差异化的资金支持体系，合理安排财政支出规模和结构，加强资金绩效管理和使用监管。优化金融要素资源配置，引导和鼓励金融机构加强对规划明确的重大产业、重点领域的支持。探索创新闲置土地盘活高效利用机制，对重点工程项目优先落实用地指标。</w:t>
      </w:r>
    </w:p>
    <w:p w14:paraId="21377B8F">
      <w:pPr>
        <w:pageBreakBefore w:val="0"/>
        <w:widowControl w:val="0"/>
        <w:kinsoku/>
        <w:wordWrap/>
        <w:overflowPunct/>
        <w:topLinePunct w:val="0"/>
        <w:autoSpaceDE/>
        <w:autoSpaceDN/>
        <w:bidi w:val="0"/>
        <w:adjustRightInd/>
        <w:textAlignment w:val="auto"/>
        <w:rPr>
          <w:rFonts w:hint="eastAsia"/>
        </w:rPr>
      </w:pPr>
      <w:r>
        <w:rPr>
          <w:rFonts w:hint="eastAsia"/>
          <w:b/>
          <w:bCs/>
          <w:lang w:val="en-US" w:eastAsia="zh-CN"/>
        </w:rPr>
        <w:t>五是</w:t>
      </w:r>
      <w:r>
        <w:rPr>
          <w:rFonts w:hint="eastAsia"/>
          <w:b/>
          <w:bCs/>
        </w:rPr>
        <w:t>加强宣传监督。</w:t>
      </w:r>
      <w:r>
        <w:rPr>
          <w:rFonts w:hint="eastAsia"/>
        </w:rPr>
        <w:t>着力推动规划实施信息公开，进一步完善规划实施的公众参与与民主监督机制，健全政府与企业、社会的信息沟通和交流机制</w:t>
      </w:r>
      <w:r>
        <w:rPr>
          <w:rFonts w:hint="eastAsia"/>
          <w:lang w:eastAsia="zh-CN"/>
        </w:rPr>
        <w:t>。</w:t>
      </w:r>
      <w:r>
        <w:rPr>
          <w:rFonts w:hint="eastAsia"/>
        </w:rPr>
        <w:t>发挥</w:t>
      </w:r>
      <w:r>
        <w:rPr>
          <w:rFonts w:hint="eastAsia"/>
          <w:lang w:val="en-US" w:eastAsia="zh-CN"/>
        </w:rPr>
        <w:t>新媒体等信息平台的</w:t>
      </w:r>
      <w:r>
        <w:rPr>
          <w:rFonts w:hint="eastAsia"/>
        </w:rPr>
        <w:t>监督作用，及时公布实施进展情况，让社会公众通过法定程序和渠道参与规划纲要的实施和监督，营造良好的社会舆论氛围。</w:t>
      </w:r>
    </w:p>
    <w:p w14:paraId="74DD11DE">
      <w:pPr>
        <w:pageBreakBefore w:val="0"/>
        <w:widowControl w:val="0"/>
        <w:kinsoku/>
        <w:wordWrap/>
        <w:overflowPunct/>
        <w:topLinePunct w:val="0"/>
        <w:autoSpaceDE/>
        <w:autoSpaceDN/>
        <w:bidi w:val="0"/>
        <w:adjustRightInd/>
        <w:textAlignment w:val="auto"/>
        <w:rPr>
          <w:rFonts w:hint="eastAsia" w:ascii="宋体" w:hAnsi="宋体" w:eastAsia="楷体_GB2312" w:cs="楷体_GB2312"/>
          <w:b/>
          <w:bCs/>
          <w:color w:val="auto"/>
          <w:kern w:val="0"/>
          <w:sz w:val="32"/>
          <w:szCs w:val="32"/>
        </w:rPr>
      </w:pPr>
      <w:r>
        <w:rPr>
          <w:rFonts w:hint="eastAsia"/>
          <w:b/>
          <w:bCs/>
          <w:lang w:val="en-US" w:eastAsia="zh-CN"/>
        </w:rPr>
        <w:t>六是</w:t>
      </w:r>
      <w:r>
        <w:rPr>
          <w:rFonts w:hint="eastAsia"/>
          <w:b/>
          <w:bCs/>
        </w:rPr>
        <w:t>加强实施评估。</w:t>
      </w:r>
      <w:r>
        <w:rPr>
          <w:rFonts w:hint="eastAsia"/>
        </w:rPr>
        <w:t>建立全周期动态监测评估体系，运用信息化手段对规划执行情况进行跟踪监测</w:t>
      </w:r>
      <w:r>
        <w:rPr>
          <w:rFonts w:hint="eastAsia"/>
          <w:lang w:eastAsia="zh-CN"/>
        </w:rPr>
        <w:t>，</w:t>
      </w:r>
      <w:r>
        <w:rPr>
          <w:rFonts w:hint="eastAsia"/>
        </w:rPr>
        <w:t>开展规划实施情况中期评估，评估报告提请</w:t>
      </w:r>
      <w:r>
        <w:rPr>
          <w:rFonts w:hint="eastAsia"/>
          <w:lang w:val="en-US" w:eastAsia="zh-CN"/>
        </w:rPr>
        <w:t>市</w:t>
      </w:r>
      <w:r>
        <w:rPr>
          <w:rFonts w:hint="eastAsia"/>
        </w:rPr>
        <w:t>人大常委会审议。引入第三方专业机构开展中期、末期评估，确保评估结果客观公正。完善规划指标统计制度，为科学评估提供支撑，增强规划评估的准确性。根据评估结果、发展形势变化，依法适时提出调整方案。</w:t>
      </w:r>
    </w:p>
    <w:sectPr>
      <w:headerReference r:id="rId5" w:type="default"/>
      <w:footerReference r:id="rId6" w:type="default"/>
      <w:pgSz w:w="11906" w:h="16838"/>
      <w:pgMar w:top="1440" w:right="1588" w:bottom="1440" w:left="1588" w:header="851" w:footer="992" w:gutter="0"/>
      <w:pgBorders>
        <w:top w:val="none" w:sz="0" w:space="0"/>
        <w:left w:val="none" w:sz="0" w:space="0"/>
        <w:bottom w:val="none" w:sz="0" w:space="0"/>
        <w:right w:val="none" w:sz="0" w:space="0"/>
      </w:pgBorders>
      <w:pgNumType w:fmt="decimal"/>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50"/>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等线 Light">
    <w:panose1 w:val="02010600030101010101"/>
    <w:charset w:val="86"/>
    <w:family w:val="auto"/>
    <w:pitch w:val="default"/>
    <w:sig w:usb0="A00002BF" w:usb1="38CF7CFA" w:usb2="00000016" w:usb3="00000000" w:csb0="0004000F" w:csb1="00000000"/>
  </w:font>
  <w:font w:name="等线">
    <w:panose1 w:val="02010600030101010101"/>
    <w:charset w:val="86"/>
    <w:family w:val="auto"/>
    <w:pitch w:val="default"/>
    <w:sig w:usb0="A00002BF" w:usb1="38CF7CFA" w:usb2="00000016" w:usb3="00000000" w:csb0="0004000F" w:csb1="00000000"/>
  </w:font>
  <w:font w:name="方正仿宋_GB2312">
    <w:altName w:val="仿宋"/>
    <w:panose1 w:val="02000000000000000000"/>
    <w:charset w:val="86"/>
    <w:family w:val="auto"/>
    <w:pitch w:val="default"/>
    <w:sig w:usb0="00000000" w:usb1="00000000" w:usb2="00000012" w:usb3="00000000" w:csb0="00040001"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E4A104">
    <w:pPr>
      <w:pStyle w:val="15"/>
      <w:ind w:left="560" w:firstLine="360"/>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47462943"/>
                          </w:sdtPr>
                          <w:sdtContent>
                            <w:p w14:paraId="68DB3413">
                              <w:pPr>
                                <w:pStyle w:val="15"/>
                                <w:ind w:left="560" w:firstLine="360"/>
                                <w:jc w:val="center"/>
                              </w:pPr>
                              <w:r>
                                <w:fldChar w:fldCharType="begin"/>
                              </w:r>
                              <w:r>
                                <w:instrText xml:space="preserve">PAGE   \* MERGEFORMAT</w:instrText>
                              </w:r>
                              <w:r>
                                <w:fldChar w:fldCharType="separate"/>
                              </w:r>
                              <w:r>
                                <w:rPr>
                                  <w:lang w:val="zh-CN"/>
                                </w:rPr>
                                <w:t>2</w:t>
                              </w:r>
                              <w:r>
                                <w:fldChar w:fldCharType="end"/>
                              </w:r>
                            </w:p>
                          </w:sdtContent>
                        </w:sdt>
                        <w:p w14:paraId="6E59798F">
                          <w:pPr>
                            <w:pStyle w:val="21"/>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sdt>
                    <w:sdtPr>
                      <w:id w:val="147462943"/>
                    </w:sdtPr>
                    <w:sdtContent>
                      <w:p w14:paraId="68DB3413">
                        <w:pPr>
                          <w:pStyle w:val="15"/>
                          <w:ind w:left="560" w:firstLine="360"/>
                          <w:jc w:val="center"/>
                        </w:pPr>
                        <w:r>
                          <w:fldChar w:fldCharType="begin"/>
                        </w:r>
                        <w:r>
                          <w:instrText xml:space="preserve">PAGE   \* MERGEFORMAT</w:instrText>
                        </w:r>
                        <w:r>
                          <w:fldChar w:fldCharType="separate"/>
                        </w:r>
                        <w:r>
                          <w:rPr>
                            <w:lang w:val="zh-CN"/>
                          </w:rPr>
                          <w:t>2</w:t>
                        </w:r>
                        <w:r>
                          <w:fldChar w:fldCharType="end"/>
                        </w:r>
                      </w:p>
                    </w:sdtContent>
                  </w:sdt>
                  <w:p w14:paraId="6E59798F">
                    <w:pPr>
                      <w:pStyle w:val="21"/>
                    </w:pPr>
                  </w:p>
                </w:txbxContent>
              </v:textbox>
            </v:shape>
          </w:pict>
        </mc:Fallback>
      </mc:AlternateContent>
    </w:r>
  </w:p>
  <w:p w14:paraId="19C6CEE1">
    <w:pPr>
      <w:pStyle w:val="15"/>
      <w:ind w:firstLine="0" w:firstLineChars="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640"/>
      </w:pPr>
      <w:r>
        <w:separator/>
      </w:r>
    </w:p>
  </w:footnote>
  <w:footnote w:type="continuationSeparator" w:id="1">
    <w:p>
      <w:pPr>
        <w:spacing w:line="360" w:lineRule="auto"/>
        <w:ind w:firstLine="64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1F1C13">
    <w:pPr>
      <w:pStyle w:val="16"/>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40"/>
  <w:drawingGridVerticalSpacing w:val="381"/>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3B97"/>
    <w:rsid w:val="00002F4E"/>
    <w:rsid w:val="00003FE9"/>
    <w:rsid w:val="00007543"/>
    <w:rsid w:val="0001022D"/>
    <w:rsid w:val="00010C95"/>
    <w:rsid w:val="00011A12"/>
    <w:rsid w:val="00013523"/>
    <w:rsid w:val="000178F7"/>
    <w:rsid w:val="0002076E"/>
    <w:rsid w:val="00023991"/>
    <w:rsid w:val="00024C4B"/>
    <w:rsid w:val="000315F1"/>
    <w:rsid w:val="000334C3"/>
    <w:rsid w:val="00034694"/>
    <w:rsid w:val="00047A1E"/>
    <w:rsid w:val="00054456"/>
    <w:rsid w:val="000562A0"/>
    <w:rsid w:val="00064F89"/>
    <w:rsid w:val="000660B5"/>
    <w:rsid w:val="00070381"/>
    <w:rsid w:val="00073AC2"/>
    <w:rsid w:val="00080DFB"/>
    <w:rsid w:val="000836E1"/>
    <w:rsid w:val="000908F2"/>
    <w:rsid w:val="00092DD9"/>
    <w:rsid w:val="00095803"/>
    <w:rsid w:val="00097213"/>
    <w:rsid w:val="000A11C4"/>
    <w:rsid w:val="000A24C0"/>
    <w:rsid w:val="000A3ED2"/>
    <w:rsid w:val="000B02AC"/>
    <w:rsid w:val="000B078E"/>
    <w:rsid w:val="000B11A7"/>
    <w:rsid w:val="000B28AB"/>
    <w:rsid w:val="000B3522"/>
    <w:rsid w:val="000B7EBA"/>
    <w:rsid w:val="000C50D6"/>
    <w:rsid w:val="000C5EFE"/>
    <w:rsid w:val="000C77E0"/>
    <w:rsid w:val="000D1F90"/>
    <w:rsid w:val="000D5259"/>
    <w:rsid w:val="000D5C99"/>
    <w:rsid w:val="000E2C88"/>
    <w:rsid w:val="000E37F8"/>
    <w:rsid w:val="000E4578"/>
    <w:rsid w:val="000E48E6"/>
    <w:rsid w:val="000E4CD5"/>
    <w:rsid w:val="000E4F7E"/>
    <w:rsid w:val="000E7426"/>
    <w:rsid w:val="000F26BA"/>
    <w:rsid w:val="000F2886"/>
    <w:rsid w:val="000F581E"/>
    <w:rsid w:val="000F62CA"/>
    <w:rsid w:val="001001A0"/>
    <w:rsid w:val="00101CBB"/>
    <w:rsid w:val="00106410"/>
    <w:rsid w:val="00114EB4"/>
    <w:rsid w:val="00115D16"/>
    <w:rsid w:val="00117001"/>
    <w:rsid w:val="00120BB1"/>
    <w:rsid w:val="00122EA4"/>
    <w:rsid w:val="001249C7"/>
    <w:rsid w:val="001257C0"/>
    <w:rsid w:val="00125B6E"/>
    <w:rsid w:val="001313C9"/>
    <w:rsid w:val="001320C1"/>
    <w:rsid w:val="00134012"/>
    <w:rsid w:val="00140AC5"/>
    <w:rsid w:val="00140DFD"/>
    <w:rsid w:val="00143D24"/>
    <w:rsid w:val="00152E4F"/>
    <w:rsid w:val="00154F15"/>
    <w:rsid w:val="00156F9B"/>
    <w:rsid w:val="00160DD6"/>
    <w:rsid w:val="00162902"/>
    <w:rsid w:val="00166C80"/>
    <w:rsid w:val="00177961"/>
    <w:rsid w:val="00182FD2"/>
    <w:rsid w:val="001909A3"/>
    <w:rsid w:val="001911BA"/>
    <w:rsid w:val="0019175E"/>
    <w:rsid w:val="00192EE2"/>
    <w:rsid w:val="001938AF"/>
    <w:rsid w:val="001A2754"/>
    <w:rsid w:val="001A4B88"/>
    <w:rsid w:val="001A7194"/>
    <w:rsid w:val="001B1D49"/>
    <w:rsid w:val="001B7BAF"/>
    <w:rsid w:val="001C147D"/>
    <w:rsid w:val="001C2873"/>
    <w:rsid w:val="001C7CE5"/>
    <w:rsid w:val="001D7BBC"/>
    <w:rsid w:val="001E25C4"/>
    <w:rsid w:val="001E782E"/>
    <w:rsid w:val="001F2B8D"/>
    <w:rsid w:val="001F4DDF"/>
    <w:rsid w:val="001F5327"/>
    <w:rsid w:val="001F5BEA"/>
    <w:rsid w:val="001F71A5"/>
    <w:rsid w:val="00204467"/>
    <w:rsid w:val="0021447C"/>
    <w:rsid w:val="00214C18"/>
    <w:rsid w:val="0023309C"/>
    <w:rsid w:val="00233C6C"/>
    <w:rsid w:val="00244A5D"/>
    <w:rsid w:val="00244E67"/>
    <w:rsid w:val="00247D1F"/>
    <w:rsid w:val="0025319C"/>
    <w:rsid w:val="002539E7"/>
    <w:rsid w:val="00253ACE"/>
    <w:rsid w:val="002546F3"/>
    <w:rsid w:val="00254D7B"/>
    <w:rsid w:val="002607EE"/>
    <w:rsid w:val="002649A2"/>
    <w:rsid w:val="00267AFF"/>
    <w:rsid w:val="002703E6"/>
    <w:rsid w:val="00271A0D"/>
    <w:rsid w:val="002721E5"/>
    <w:rsid w:val="00276310"/>
    <w:rsid w:val="00282108"/>
    <w:rsid w:val="00282385"/>
    <w:rsid w:val="00282C02"/>
    <w:rsid w:val="0029441A"/>
    <w:rsid w:val="002A130A"/>
    <w:rsid w:val="002A3BF2"/>
    <w:rsid w:val="002A4972"/>
    <w:rsid w:val="002A5E7C"/>
    <w:rsid w:val="002B093E"/>
    <w:rsid w:val="002B1956"/>
    <w:rsid w:val="002C0F53"/>
    <w:rsid w:val="002C3391"/>
    <w:rsid w:val="002C4283"/>
    <w:rsid w:val="002D096C"/>
    <w:rsid w:val="002D7F7E"/>
    <w:rsid w:val="002E1168"/>
    <w:rsid w:val="002E1A4F"/>
    <w:rsid w:val="002E20EA"/>
    <w:rsid w:val="002E4B40"/>
    <w:rsid w:val="002F3019"/>
    <w:rsid w:val="002F59F9"/>
    <w:rsid w:val="00301327"/>
    <w:rsid w:val="00310F3A"/>
    <w:rsid w:val="00313993"/>
    <w:rsid w:val="00313B0A"/>
    <w:rsid w:val="00327974"/>
    <w:rsid w:val="0033127C"/>
    <w:rsid w:val="003323F4"/>
    <w:rsid w:val="0033546B"/>
    <w:rsid w:val="003402EE"/>
    <w:rsid w:val="00341985"/>
    <w:rsid w:val="00342360"/>
    <w:rsid w:val="00342B77"/>
    <w:rsid w:val="00350E78"/>
    <w:rsid w:val="00351F85"/>
    <w:rsid w:val="00356754"/>
    <w:rsid w:val="00356E07"/>
    <w:rsid w:val="00357D36"/>
    <w:rsid w:val="00363AE6"/>
    <w:rsid w:val="00370D9A"/>
    <w:rsid w:val="00377792"/>
    <w:rsid w:val="00383ACB"/>
    <w:rsid w:val="00383D32"/>
    <w:rsid w:val="003845F1"/>
    <w:rsid w:val="003917C8"/>
    <w:rsid w:val="00393573"/>
    <w:rsid w:val="003937AE"/>
    <w:rsid w:val="00395353"/>
    <w:rsid w:val="003A099E"/>
    <w:rsid w:val="003A2BBE"/>
    <w:rsid w:val="003A60CB"/>
    <w:rsid w:val="003A6DBF"/>
    <w:rsid w:val="003B13E8"/>
    <w:rsid w:val="003B2CB2"/>
    <w:rsid w:val="003B4AC8"/>
    <w:rsid w:val="003C0E75"/>
    <w:rsid w:val="003D2DEC"/>
    <w:rsid w:val="003D4EAD"/>
    <w:rsid w:val="003D5F69"/>
    <w:rsid w:val="003E1BB1"/>
    <w:rsid w:val="003E273D"/>
    <w:rsid w:val="003F54EF"/>
    <w:rsid w:val="003F6C1A"/>
    <w:rsid w:val="004040D9"/>
    <w:rsid w:val="004106D0"/>
    <w:rsid w:val="00423E5B"/>
    <w:rsid w:val="00430936"/>
    <w:rsid w:val="0043306F"/>
    <w:rsid w:val="00445245"/>
    <w:rsid w:val="0045600E"/>
    <w:rsid w:val="00462828"/>
    <w:rsid w:val="00467FE5"/>
    <w:rsid w:val="00473DA7"/>
    <w:rsid w:val="00474EC9"/>
    <w:rsid w:val="004847F5"/>
    <w:rsid w:val="004870A7"/>
    <w:rsid w:val="00492ECA"/>
    <w:rsid w:val="004931C1"/>
    <w:rsid w:val="004A0C01"/>
    <w:rsid w:val="004A1168"/>
    <w:rsid w:val="004A3A23"/>
    <w:rsid w:val="004A55CC"/>
    <w:rsid w:val="004A6CD1"/>
    <w:rsid w:val="004B232B"/>
    <w:rsid w:val="004B306C"/>
    <w:rsid w:val="004B365A"/>
    <w:rsid w:val="004B5D96"/>
    <w:rsid w:val="004B73F9"/>
    <w:rsid w:val="004C3BFB"/>
    <w:rsid w:val="004D186A"/>
    <w:rsid w:val="004E3B59"/>
    <w:rsid w:val="004E637D"/>
    <w:rsid w:val="004E71F9"/>
    <w:rsid w:val="004F0E05"/>
    <w:rsid w:val="004F7150"/>
    <w:rsid w:val="00502521"/>
    <w:rsid w:val="00504E6C"/>
    <w:rsid w:val="0050613F"/>
    <w:rsid w:val="00510268"/>
    <w:rsid w:val="005142B8"/>
    <w:rsid w:val="00527371"/>
    <w:rsid w:val="00531A5F"/>
    <w:rsid w:val="00533D5C"/>
    <w:rsid w:val="005341BE"/>
    <w:rsid w:val="00545714"/>
    <w:rsid w:val="00545A6A"/>
    <w:rsid w:val="005461F2"/>
    <w:rsid w:val="0054653F"/>
    <w:rsid w:val="00547BCA"/>
    <w:rsid w:val="00551C66"/>
    <w:rsid w:val="00554B92"/>
    <w:rsid w:val="00562202"/>
    <w:rsid w:val="00562514"/>
    <w:rsid w:val="00563F67"/>
    <w:rsid w:val="005819BD"/>
    <w:rsid w:val="005831CF"/>
    <w:rsid w:val="005A07D7"/>
    <w:rsid w:val="005A45C4"/>
    <w:rsid w:val="005B16B3"/>
    <w:rsid w:val="005B5633"/>
    <w:rsid w:val="005B5975"/>
    <w:rsid w:val="005C2FA1"/>
    <w:rsid w:val="005C4B7E"/>
    <w:rsid w:val="005C5972"/>
    <w:rsid w:val="005C7585"/>
    <w:rsid w:val="005D028F"/>
    <w:rsid w:val="005D2030"/>
    <w:rsid w:val="005E1443"/>
    <w:rsid w:val="005E7677"/>
    <w:rsid w:val="005E7F90"/>
    <w:rsid w:val="005F0265"/>
    <w:rsid w:val="005F2415"/>
    <w:rsid w:val="005F4B6A"/>
    <w:rsid w:val="005F5000"/>
    <w:rsid w:val="006008C3"/>
    <w:rsid w:val="006062A1"/>
    <w:rsid w:val="00606F5C"/>
    <w:rsid w:val="006155AB"/>
    <w:rsid w:val="00617115"/>
    <w:rsid w:val="006206CA"/>
    <w:rsid w:val="006245CE"/>
    <w:rsid w:val="00630216"/>
    <w:rsid w:val="0063155F"/>
    <w:rsid w:val="00633445"/>
    <w:rsid w:val="00634A51"/>
    <w:rsid w:val="0063643D"/>
    <w:rsid w:val="0064437B"/>
    <w:rsid w:val="006522CF"/>
    <w:rsid w:val="006551D8"/>
    <w:rsid w:val="00663063"/>
    <w:rsid w:val="0066448D"/>
    <w:rsid w:val="00666A3B"/>
    <w:rsid w:val="00666CA0"/>
    <w:rsid w:val="006677EA"/>
    <w:rsid w:val="00667BC4"/>
    <w:rsid w:val="006714F9"/>
    <w:rsid w:val="006751B4"/>
    <w:rsid w:val="00680B8F"/>
    <w:rsid w:val="006954B5"/>
    <w:rsid w:val="00696E92"/>
    <w:rsid w:val="006A1615"/>
    <w:rsid w:val="006A1A14"/>
    <w:rsid w:val="006A2DDE"/>
    <w:rsid w:val="006A4333"/>
    <w:rsid w:val="006A7A8C"/>
    <w:rsid w:val="006B03E7"/>
    <w:rsid w:val="006B7A64"/>
    <w:rsid w:val="006C480D"/>
    <w:rsid w:val="006C658C"/>
    <w:rsid w:val="006D4795"/>
    <w:rsid w:val="006E02DE"/>
    <w:rsid w:val="006E47AE"/>
    <w:rsid w:val="006E4CC9"/>
    <w:rsid w:val="006F1EBA"/>
    <w:rsid w:val="006F1F85"/>
    <w:rsid w:val="006F2BC5"/>
    <w:rsid w:val="006F5A47"/>
    <w:rsid w:val="00701753"/>
    <w:rsid w:val="00703B60"/>
    <w:rsid w:val="00705BCC"/>
    <w:rsid w:val="00713F22"/>
    <w:rsid w:val="00715701"/>
    <w:rsid w:val="00716442"/>
    <w:rsid w:val="007164E0"/>
    <w:rsid w:val="00716EE3"/>
    <w:rsid w:val="00717AB1"/>
    <w:rsid w:val="00725432"/>
    <w:rsid w:val="00725876"/>
    <w:rsid w:val="007329DA"/>
    <w:rsid w:val="007341A5"/>
    <w:rsid w:val="00736EA1"/>
    <w:rsid w:val="00740079"/>
    <w:rsid w:val="00740356"/>
    <w:rsid w:val="007473FA"/>
    <w:rsid w:val="007505B2"/>
    <w:rsid w:val="00754C41"/>
    <w:rsid w:val="0075657F"/>
    <w:rsid w:val="00760D48"/>
    <w:rsid w:val="00770872"/>
    <w:rsid w:val="00771A35"/>
    <w:rsid w:val="007758ED"/>
    <w:rsid w:val="00781EAD"/>
    <w:rsid w:val="00784DD3"/>
    <w:rsid w:val="00785E48"/>
    <w:rsid w:val="00786F76"/>
    <w:rsid w:val="0079134A"/>
    <w:rsid w:val="00791736"/>
    <w:rsid w:val="00796408"/>
    <w:rsid w:val="007A760C"/>
    <w:rsid w:val="007B01A5"/>
    <w:rsid w:val="007B0FF4"/>
    <w:rsid w:val="007B69ED"/>
    <w:rsid w:val="007C05EA"/>
    <w:rsid w:val="007D161A"/>
    <w:rsid w:val="007D4EF8"/>
    <w:rsid w:val="007D51CC"/>
    <w:rsid w:val="007D52E8"/>
    <w:rsid w:val="007D6C1B"/>
    <w:rsid w:val="007E106D"/>
    <w:rsid w:val="007E339C"/>
    <w:rsid w:val="007E4141"/>
    <w:rsid w:val="007E4EF4"/>
    <w:rsid w:val="007F2307"/>
    <w:rsid w:val="007F39D3"/>
    <w:rsid w:val="007F690A"/>
    <w:rsid w:val="007F7823"/>
    <w:rsid w:val="008002B5"/>
    <w:rsid w:val="00801107"/>
    <w:rsid w:val="0081087C"/>
    <w:rsid w:val="00820805"/>
    <w:rsid w:val="0082353F"/>
    <w:rsid w:val="008348CB"/>
    <w:rsid w:val="00837DB5"/>
    <w:rsid w:val="008404F9"/>
    <w:rsid w:val="00841BDD"/>
    <w:rsid w:val="00842827"/>
    <w:rsid w:val="008433A8"/>
    <w:rsid w:val="00845B4D"/>
    <w:rsid w:val="00851FB6"/>
    <w:rsid w:val="008532D4"/>
    <w:rsid w:val="0086026C"/>
    <w:rsid w:val="00862713"/>
    <w:rsid w:val="00870173"/>
    <w:rsid w:val="00872447"/>
    <w:rsid w:val="00880DA3"/>
    <w:rsid w:val="0088365D"/>
    <w:rsid w:val="0089311A"/>
    <w:rsid w:val="008958E7"/>
    <w:rsid w:val="008A1E0A"/>
    <w:rsid w:val="008A709D"/>
    <w:rsid w:val="008B0ED5"/>
    <w:rsid w:val="008B1E38"/>
    <w:rsid w:val="008B2F77"/>
    <w:rsid w:val="008B4C9F"/>
    <w:rsid w:val="008B54B0"/>
    <w:rsid w:val="008B5973"/>
    <w:rsid w:val="008D1662"/>
    <w:rsid w:val="008D6D74"/>
    <w:rsid w:val="008E29E3"/>
    <w:rsid w:val="008E2F54"/>
    <w:rsid w:val="008F474C"/>
    <w:rsid w:val="008F4765"/>
    <w:rsid w:val="008F75AF"/>
    <w:rsid w:val="00921629"/>
    <w:rsid w:val="00923035"/>
    <w:rsid w:val="00924F6C"/>
    <w:rsid w:val="00927C77"/>
    <w:rsid w:val="00927E0A"/>
    <w:rsid w:val="00930A15"/>
    <w:rsid w:val="00931239"/>
    <w:rsid w:val="0093171E"/>
    <w:rsid w:val="009321D5"/>
    <w:rsid w:val="00933C6A"/>
    <w:rsid w:val="00936FDC"/>
    <w:rsid w:val="00937681"/>
    <w:rsid w:val="009404E5"/>
    <w:rsid w:val="0094390F"/>
    <w:rsid w:val="00944717"/>
    <w:rsid w:val="0094548E"/>
    <w:rsid w:val="00953992"/>
    <w:rsid w:val="00962244"/>
    <w:rsid w:val="00963BF9"/>
    <w:rsid w:val="009642A1"/>
    <w:rsid w:val="009644D6"/>
    <w:rsid w:val="00967181"/>
    <w:rsid w:val="00970CFE"/>
    <w:rsid w:val="00971E9D"/>
    <w:rsid w:val="00972EB8"/>
    <w:rsid w:val="009762B8"/>
    <w:rsid w:val="00983AC8"/>
    <w:rsid w:val="009905B5"/>
    <w:rsid w:val="00990626"/>
    <w:rsid w:val="009943C4"/>
    <w:rsid w:val="0099573D"/>
    <w:rsid w:val="0099580C"/>
    <w:rsid w:val="009A0D92"/>
    <w:rsid w:val="009A2F58"/>
    <w:rsid w:val="009A41B5"/>
    <w:rsid w:val="009A5F5F"/>
    <w:rsid w:val="009B4D03"/>
    <w:rsid w:val="009B5078"/>
    <w:rsid w:val="009C08E8"/>
    <w:rsid w:val="009C6ABB"/>
    <w:rsid w:val="009D39CD"/>
    <w:rsid w:val="009D5096"/>
    <w:rsid w:val="009D7DC2"/>
    <w:rsid w:val="009E037C"/>
    <w:rsid w:val="009F3295"/>
    <w:rsid w:val="009F3659"/>
    <w:rsid w:val="009F60FC"/>
    <w:rsid w:val="00A005B8"/>
    <w:rsid w:val="00A00686"/>
    <w:rsid w:val="00A11A17"/>
    <w:rsid w:val="00A13DA1"/>
    <w:rsid w:val="00A16305"/>
    <w:rsid w:val="00A20E8A"/>
    <w:rsid w:val="00A20F33"/>
    <w:rsid w:val="00A2550C"/>
    <w:rsid w:val="00A27315"/>
    <w:rsid w:val="00A35A6E"/>
    <w:rsid w:val="00A36C0B"/>
    <w:rsid w:val="00A410D1"/>
    <w:rsid w:val="00A413D4"/>
    <w:rsid w:val="00A41FD3"/>
    <w:rsid w:val="00A60A71"/>
    <w:rsid w:val="00A701CA"/>
    <w:rsid w:val="00A75DA9"/>
    <w:rsid w:val="00A77BFD"/>
    <w:rsid w:val="00A845EC"/>
    <w:rsid w:val="00A858EC"/>
    <w:rsid w:val="00A903A8"/>
    <w:rsid w:val="00A90662"/>
    <w:rsid w:val="00A963B9"/>
    <w:rsid w:val="00AA3427"/>
    <w:rsid w:val="00AA4FFC"/>
    <w:rsid w:val="00AB634D"/>
    <w:rsid w:val="00AC090A"/>
    <w:rsid w:val="00AC1F50"/>
    <w:rsid w:val="00AC4176"/>
    <w:rsid w:val="00AC4706"/>
    <w:rsid w:val="00AC7F5F"/>
    <w:rsid w:val="00AD5CBB"/>
    <w:rsid w:val="00AE2BB3"/>
    <w:rsid w:val="00AE38C1"/>
    <w:rsid w:val="00B03B89"/>
    <w:rsid w:val="00B03D49"/>
    <w:rsid w:val="00B0541D"/>
    <w:rsid w:val="00B11CCB"/>
    <w:rsid w:val="00B15A31"/>
    <w:rsid w:val="00B2118C"/>
    <w:rsid w:val="00B266DE"/>
    <w:rsid w:val="00B27581"/>
    <w:rsid w:val="00B31385"/>
    <w:rsid w:val="00B31F8E"/>
    <w:rsid w:val="00B3264B"/>
    <w:rsid w:val="00B33599"/>
    <w:rsid w:val="00B353C0"/>
    <w:rsid w:val="00B41E85"/>
    <w:rsid w:val="00B4356C"/>
    <w:rsid w:val="00B43982"/>
    <w:rsid w:val="00B474A9"/>
    <w:rsid w:val="00B53804"/>
    <w:rsid w:val="00B54530"/>
    <w:rsid w:val="00B61611"/>
    <w:rsid w:val="00B61807"/>
    <w:rsid w:val="00B72370"/>
    <w:rsid w:val="00B72664"/>
    <w:rsid w:val="00B75D3D"/>
    <w:rsid w:val="00B95252"/>
    <w:rsid w:val="00B95D7B"/>
    <w:rsid w:val="00BB6603"/>
    <w:rsid w:val="00BC244C"/>
    <w:rsid w:val="00BC529C"/>
    <w:rsid w:val="00BD3D96"/>
    <w:rsid w:val="00BD690A"/>
    <w:rsid w:val="00BE05F0"/>
    <w:rsid w:val="00BE2C99"/>
    <w:rsid w:val="00BE34E4"/>
    <w:rsid w:val="00BE4770"/>
    <w:rsid w:val="00BE6D45"/>
    <w:rsid w:val="00BF0768"/>
    <w:rsid w:val="00BF1565"/>
    <w:rsid w:val="00BF1F42"/>
    <w:rsid w:val="00BF37BA"/>
    <w:rsid w:val="00BF3B97"/>
    <w:rsid w:val="00BF4A83"/>
    <w:rsid w:val="00BF5140"/>
    <w:rsid w:val="00BF5CA1"/>
    <w:rsid w:val="00C07D0B"/>
    <w:rsid w:val="00C16000"/>
    <w:rsid w:val="00C2019C"/>
    <w:rsid w:val="00C21E9B"/>
    <w:rsid w:val="00C24799"/>
    <w:rsid w:val="00C30B93"/>
    <w:rsid w:val="00C3285D"/>
    <w:rsid w:val="00C4480C"/>
    <w:rsid w:val="00C46222"/>
    <w:rsid w:val="00C51F03"/>
    <w:rsid w:val="00C540FE"/>
    <w:rsid w:val="00C54B61"/>
    <w:rsid w:val="00C57495"/>
    <w:rsid w:val="00C617EC"/>
    <w:rsid w:val="00C619E9"/>
    <w:rsid w:val="00C66F88"/>
    <w:rsid w:val="00C67664"/>
    <w:rsid w:val="00C7447C"/>
    <w:rsid w:val="00C7490B"/>
    <w:rsid w:val="00C82501"/>
    <w:rsid w:val="00C839A2"/>
    <w:rsid w:val="00C96695"/>
    <w:rsid w:val="00C97193"/>
    <w:rsid w:val="00C97905"/>
    <w:rsid w:val="00CA1CC0"/>
    <w:rsid w:val="00CA2A63"/>
    <w:rsid w:val="00CA3398"/>
    <w:rsid w:val="00CA61EF"/>
    <w:rsid w:val="00CA6E29"/>
    <w:rsid w:val="00CA7E68"/>
    <w:rsid w:val="00CB6930"/>
    <w:rsid w:val="00CB6E92"/>
    <w:rsid w:val="00CC147C"/>
    <w:rsid w:val="00CC2916"/>
    <w:rsid w:val="00CC5E33"/>
    <w:rsid w:val="00CD03F0"/>
    <w:rsid w:val="00CD3515"/>
    <w:rsid w:val="00CE366E"/>
    <w:rsid w:val="00CE4672"/>
    <w:rsid w:val="00CE714C"/>
    <w:rsid w:val="00CF3463"/>
    <w:rsid w:val="00CF714F"/>
    <w:rsid w:val="00D01C3C"/>
    <w:rsid w:val="00D025E1"/>
    <w:rsid w:val="00D03CE1"/>
    <w:rsid w:val="00D04EB7"/>
    <w:rsid w:val="00D10509"/>
    <w:rsid w:val="00D1553A"/>
    <w:rsid w:val="00D209AD"/>
    <w:rsid w:val="00D21BE1"/>
    <w:rsid w:val="00D226E0"/>
    <w:rsid w:val="00D24AC7"/>
    <w:rsid w:val="00D24C86"/>
    <w:rsid w:val="00D275B8"/>
    <w:rsid w:val="00D3029E"/>
    <w:rsid w:val="00D45A51"/>
    <w:rsid w:val="00D46553"/>
    <w:rsid w:val="00D50D20"/>
    <w:rsid w:val="00D52792"/>
    <w:rsid w:val="00D571E9"/>
    <w:rsid w:val="00D605BC"/>
    <w:rsid w:val="00D6144F"/>
    <w:rsid w:val="00D625EF"/>
    <w:rsid w:val="00D715D7"/>
    <w:rsid w:val="00D723D3"/>
    <w:rsid w:val="00D85C7C"/>
    <w:rsid w:val="00D86039"/>
    <w:rsid w:val="00D874E9"/>
    <w:rsid w:val="00D901C2"/>
    <w:rsid w:val="00D90B4C"/>
    <w:rsid w:val="00D917BA"/>
    <w:rsid w:val="00D93892"/>
    <w:rsid w:val="00D96CE0"/>
    <w:rsid w:val="00DA36BC"/>
    <w:rsid w:val="00DA72FD"/>
    <w:rsid w:val="00DB109A"/>
    <w:rsid w:val="00DB63FB"/>
    <w:rsid w:val="00DB69CA"/>
    <w:rsid w:val="00DC3818"/>
    <w:rsid w:val="00DC4B39"/>
    <w:rsid w:val="00DC4E3D"/>
    <w:rsid w:val="00DC744A"/>
    <w:rsid w:val="00DD79AE"/>
    <w:rsid w:val="00DD7B83"/>
    <w:rsid w:val="00DE343F"/>
    <w:rsid w:val="00DE598C"/>
    <w:rsid w:val="00DE6BB6"/>
    <w:rsid w:val="00DE7D3A"/>
    <w:rsid w:val="00DF5B86"/>
    <w:rsid w:val="00DF5C23"/>
    <w:rsid w:val="00DF66CE"/>
    <w:rsid w:val="00DF6DAE"/>
    <w:rsid w:val="00E00571"/>
    <w:rsid w:val="00E04A37"/>
    <w:rsid w:val="00E06A31"/>
    <w:rsid w:val="00E06D3E"/>
    <w:rsid w:val="00E0770D"/>
    <w:rsid w:val="00E07E8D"/>
    <w:rsid w:val="00E10301"/>
    <w:rsid w:val="00E10DC5"/>
    <w:rsid w:val="00E1375B"/>
    <w:rsid w:val="00E152D1"/>
    <w:rsid w:val="00E25A29"/>
    <w:rsid w:val="00E26E13"/>
    <w:rsid w:val="00E32EA9"/>
    <w:rsid w:val="00E330B3"/>
    <w:rsid w:val="00E343FD"/>
    <w:rsid w:val="00E3573C"/>
    <w:rsid w:val="00E3729B"/>
    <w:rsid w:val="00E447D4"/>
    <w:rsid w:val="00E544BE"/>
    <w:rsid w:val="00E60773"/>
    <w:rsid w:val="00E74798"/>
    <w:rsid w:val="00E767F4"/>
    <w:rsid w:val="00E81D99"/>
    <w:rsid w:val="00E83C5E"/>
    <w:rsid w:val="00E8459B"/>
    <w:rsid w:val="00E84689"/>
    <w:rsid w:val="00E85C66"/>
    <w:rsid w:val="00E8606F"/>
    <w:rsid w:val="00E8656A"/>
    <w:rsid w:val="00E9432C"/>
    <w:rsid w:val="00E94D0B"/>
    <w:rsid w:val="00E95242"/>
    <w:rsid w:val="00E96143"/>
    <w:rsid w:val="00E963B7"/>
    <w:rsid w:val="00EA09F0"/>
    <w:rsid w:val="00EA413A"/>
    <w:rsid w:val="00EA4DE8"/>
    <w:rsid w:val="00EA4EB6"/>
    <w:rsid w:val="00EA57CF"/>
    <w:rsid w:val="00EA634C"/>
    <w:rsid w:val="00EB02A5"/>
    <w:rsid w:val="00EB08C2"/>
    <w:rsid w:val="00EB4AFE"/>
    <w:rsid w:val="00EC410C"/>
    <w:rsid w:val="00EC5F4E"/>
    <w:rsid w:val="00ED047B"/>
    <w:rsid w:val="00ED1DD5"/>
    <w:rsid w:val="00ED2062"/>
    <w:rsid w:val="00ED31ED"/>
    <w:rsid w:val="00ED344F"/>
    <w:rsid w:val="00ED39E8"/>
    <w:rsid w:val="00ED6C24"/>
    <w:rsid w:val="00EE0986"/>
    <w:rsid w:val="00EE2948"/>
    <w:rsid w:val="00EE4ACF"/>
    <w:rsid w:val="00EE76CA"/>
    <w:rsid w:val="00EF176C"/>
    <w:rsid w:val="00EF21B2"/>
    <w:rsid w:val="00EF27FF"/>
    <w:rsid w:val="00EF5595"/>
    <w:rsid w:val="00EF637E"/>
    <w:rsid w:val="00EF6C41"/>
    <w:rsid w:val="00F00F10"/>
    <w:rsid w:val="00F03667"/>
    <w:rsid w:val="00F11662"/>
    <w:rsid w:val="00F117BD"/>
    <w:rsid w:val="00F11F63"/>
    <w:rsid w:val="00F16B03"/>
    <w:rsid w:val="00F20741"/>
    <w:rsid w:val="00F332FF"/>
    <w:rsid w:val="00F33594"/>
    <w:rsid w:val="00F34778"/>
    <w:rsid w:val="00F349B9"/>
    <w:rsid w:val="00F358C6"/>
    <w:rsid w:val="00F43CD9"/>
    <w:rsid w:val="00F46A47"/>
    <w:rsid w:val="00F50C6A"/>
    <w:rsid w:val="00F5163D"/>
    <w:rsid w:val="00F53155"/>
    <w:rsid w:val="00F5429D"/>
    <w:rsid w:val="00F544CD"/>
    <w:rsid w:val="00F5765A"/>
    <w:rsid w:val="00F611C5"/>
    <w:rsid w:val="00F61413"/>
    <w:rsid w:val="00F625C6"/>
    <w:rsid w:val="00F65588"/>
    <w:rsid w:val="00F7093C"/>
    <w:rsid w:val="00F727A3"/>
    <w:rsid w:val="00F77467"/>
    <w:rsid w:val="00F80B47"/>
    <w:rsid w:val="00F82626"/>
    <w:rsid w:val="00F83A70"/>
    <w:rsid w:val="00F90F0A"/>
    <w:rsid w:val="00F943C8"/>
    <w:rsid w:val="00FA05EB"/>
    <w:rsid w:val="00FA1975"/>
    <w:rsid w:val="00FA332B"/>
    <w:rsid w:val="00FA7283"/>
    <w:rsid w:val="00FB374A"/>
    <w:rsid w:val="00FB6A8E"/>
    <w:rsid w:val="00FC0852"/>
    <w:rsid w:val="00FC6794"/>
    <w:rsid w:val="00FD0255"/>
    <w:rsid w:val="00FD0517"/>
    <w:rsid w:val="00FD1097"/>
    <w:rsid w:val="00FD1104"/>
    <w:rsid w:val="00FD587A"/>
    <w:rsid w:val="00FD6FEC"/>
    <w:rsid w:val="00FE0882"/>
    <w:rsid w:val="00FE0C5B"/>
    <w:rsid w:val="00FE258D"/>
    <w:rsid w:val="00FE38FC"/>
    <w:rsid w:val="00FE7A30"/>
    <w:rsid w:val="00FF36F9"/>
    <w:rsid w:val="00FF5555"/>
    <w:rsid w:val="00FF7E0B"/>
    <w:rsid w:val="01064C9A"/>
    <w:rsid w:val="0174236A"/>
    <w:rsid w:val="017D61E7"/>
    <w:rsid w:val="01D32DCE"/>
    <w:rsid w:val="01F21448"/>
    <w:rsid w:val="022759D9"/>
    <w:rsid w:val="024918D1"/>
    <w:rsid w:val="025B766B"/>
    <w:rsid w:val="02720839"/>
    <w:rsid w:val="027D3B5B"/>
    <w:rsid w:val="02817F14"/>
    <w:rsid w:val="0298009E"/>
    <w:rsid w:val="02B80282"/>
    <w:rsid w:val="02C4564B"/>
    <w:rsid w:val="02EB4957"/>
    <w:rsid w:val="02EE56DE"/>
    <w:rsid w:val="034A5312"/>
    <w:rsid w:val="03B75E57"/>
    <w:rsid w:val="04003CC7"/>
    <w:rsid w:val="04133ADA"/>
    <w:rsid w:val="042212E0"/>
    <w:rsid w:val="044B3143"/>
    <w:rsid w:val="044D4342"/>
    <w:rsid w:val="04731B5B"/>
    <w:rsid w:val="047A034B"/>
    <w:rsid w:val="04CC7C6B"/>
    <w:rsid w:val="04D21A0C"/>
    <w:rsid w:val="04E3489C"/>
    <w:rsid w:val="050C3ADF"/>
    <w:rsid w:val="054B365B"/>
    <w:rsid w:val="05541460"/>
    <w:rsid w:val="058830A2"/>
    <w:rsid w:val="05976809"/>
    <w:rsid w:val="05A03C02"/>
    <w:rsid w:val="05F0234C"/>
    <w:rsid w:val="060D7C05"/>
    <w:rsid w:val="06514C72"/>
    <w:rsid w:val="06A2436E"/>
    <w:rsid w:val="074D717F"/>
    <w:rsid w:val="075E5B77"/>
    <w:rsid w:val="078F4051"/>
    <w:rsid w:val="08056725"/>
    <w:rsid w:val="083E4B5E"/>
    <w:rsid w:val="083E4D1A"/>
    <w:rsid w:val="08795246"/>
    <w:rsid w:val="089A53A0"/>
    <w:rsid w:val="08DC5B56"/>
    <w:rsid w:val="09261A80"/>
    <w:rsid w:val="092A51B9"/>
    <w:rsid w:val="098D41AA"/>
    <w:rsid w:val="09E37767"/>
    <w:rsid w:val="0A374116"/>
    <w:rsid w:val="0A6749FB"/>
    <w:rsid w:val="0ACD1925"/>
    <w:rsid w:val="0B043FF8"/>
    <w:rsid w:val="0BD65EED"/>
    <w:rsid w:val="0C8B1D7C"/>
    <w:rsid w:val="0D3037CB"/>
    <w:rsid w:val="0D935B07"/>
    <w:rsid w:val="0DA740BB"/>
    <w:rsid w:val="0DE3083D"/>
    <w:rsid w:val="0DF43970"/>
    <w:rsid w:val="0E1F17C1"/>
    <w:rsid w:val="0EFF16A6"/>
    <w:rsid w:val="0F6E7396"/>
    <w:rsid w:val="0FCF6CCF"/>
    <w:rsid w:val="105F7F23"/>
    <w:rsid w:val="109C2F25"/>
    <w:rsid w:val="10B21E6B"/>
    <w:rsid w:val="10DC1574"/>
    <w:rsid w:val="1151578F"/>
    <w:rsid w:val="115846E1"/>
    <w:rsid w:val="11EF57FA"/>
    <w:rsid w:val="11F465AA"/>
    <w:rsid w:val="12225C64"/>
    <w:rsid w:val="12573FEC"/>
    <w:rsid w:val="12791770"/>
    <w:rsid w:val="132B3A9F"/>
    <w:rsid w:val="13337B71"/>
    <w:rsid w:val="13655A8D"/>
    <w:rsid w:val="13C94031"/>
    <w:rsid w:val="14206170"/>
    <w:rsid w:val="14411E19"/>
    <w:rsid w:val="146A3C47"/>
    <w:rsid w:val="147E4E1C"/>
    <w:rsid w:val="14B73407"/>
    <w:rsid w:val="14C57522"/>
    <w:rsid w:val="14D14285"/>
    <w:rsid w:val="14DC4520"/>
    <w:rsid w:val="14EA63CE"/>
    <w:rsid w:val="14FA3B77"/>
    <w:rsid w:val="1530031C"/>
    <w:rsid w:val="156D4C43"/>
    <w:rsid w:val="15BB3AEC"/>
    <w:rsid w:val="15CC7E09"/>
    <w:rsid w:val="15E7507B"/>
    <w:rsid w:val="16032AD9"/>
    <w:rsid w:val="16346A98"/>
    <w:rsid w:val="16664EB8"/>
    <w:rsid w:val="16D76A65"/>
    <w:rsid w:val="16DA51FF"/>
    <w:rsid w:val="170415AA"/>
    <w:rsid w:val="170715A7"/>
    <w:rsid w:val="171A2F59"/>
    <w:rsid w:val="174A38E2"/>
    <w:rsid w:val="177644D0"/>
    <w:rsid w:val="17B944FE"/>
    <w:rsid w:val="17D72816"/>
    <w:rsid w:val="182F7071"/>
    <w:rsid w:val="18716A45"/>
    <w:rsid w:val="18795D56"/>
    <w:rsid w:val="18AD71D5"/>
    <w:rsid w:val="18CA4688"/>
    <w:rsid w:val="191072D9"/>
    <w:rsid w:val="1957739A"/>
    <w:rsid w:val="19B12FD7"/>
    <w:rsid w:val="19BE5CBA"/>
    <w:rsid w:val="19FA6C13"/>
    <w:rsid w:val="1A487A30"/>
    <w:rsid w:val="1A534CC0"/>
    <w:rsid w:val="1A5B1D0B"/>
    <w:rsid w:val="1A6079B5"/>
    <w:rsid w:val="1A6C1BBA"/>
    <w:rsid w:val="1A951111"/>
    <w:rsid w:val="1AA07CC7"/>
    <w:rsid w:val="1B7123A8"/>
    <w:rsid w:val="1B7E320A"/>
    <w:rsid w:val="1BAE25EA"/>
    <w:rsid w:val="1BC3255C"/>
    <w:rsid w:val="1C4D6056"/>
    <w:rsid w:val="1CB477B1"/>
    <w:rsid w:val="1CD777BF"/>
    <w:rsid w:val="1CEA2700"/>
    <w:rsid w:val="1D0254C6"/>
    <w:rsid w:val="1D24052A"/>
    <w:rsid w:val="1D897AB4"/>
    <w:rsid w:val="1D8E0841"/>
    <w:rsid w:val="1D9F442C"/>
    <w:rsid w:val="1DA83C03"/>
    <w:rsid w:val="1E0F3833"/>
    <w:rsid w:val="1E146797"/>
    <w:rsid w:val="1E576A8D"/>
    <w:rsid w:val="1E5B1898"/>
    <w:rsid w:val="1E950E9C"/>
    <w:rsid w:val="1ECE5AEC"/>
    <w:rsid w:val="1FB1011A"/>
    <w:rsid w:val="20021EF5"/>
    <w:rsid w:val="204D0803"/>
    <w:rsid w:val="20700FD8"/>
    <w:rsid w:val="207B2B57"/>
    <w:rsid w:val="20B62621"/>
    <w:rsid w:val="20DC5AF7"/>
    <w:rsid w:val="21497FA1"/>
    <w:rsid w:val="218912A4"/>
    <w:rsid w:val="219176F6"/>
    <w:rsid w:val="22237002"/>
    <w:rsid w:val="223E2B71"/>
    <w:rsid w:val="22901152"/>
    <w:rsid w:val="22AC2D37"/>
    <w:rsid w:val="22C07210"/>
    <w:rsid w:val="23144387"/>
    <w:rsid w:val="23306003"/>
    <w:rsid w:val="23532915"/>
    <w:rsid w:val="237D3DBF"/>
    <w:rsid w:val="23C16AD3"/>
    <w:rsid w:val="241F3477"/>
    <w:rsid w:val="24727030"/>
    <w:rsid w:val="249E1481"/>
    <w:rsid w:val="24C104BB"/>
    <w:rsid w:val="24F27405"/>
    <w:rsid w:val="252A7732"/>
    <w:rsid w:val="256F3756"/>
    <w:rsid w:val="25B6351E"/>
    <w:rsid w:val="25C42B0C"/>
    <w:rsid w:val="260B2FDB"/>
    <w:rsid w:val="2624732B"/>
    <w:rsid w:val="266B0F78"/>
    <w:rsid w:val="26E22D1E"/>
    <w:rsid w:val="270C4AA5"/>
    <w:rsid w:val="2786250D"/>
    <w:rsid w:val="279136DB"/>
    <w:rsid w:val="27C21658"/>
    <w:rsid w:val="27E309B7"/>
    <w:rsid w:val="27F136FF"/>
    <w:rsid w:val="27F4175B"/>
    <w:rsid w:val="28362E71"/>
    <w:rsid w:val="28546812"/>
    <w:rsid w:val="285E3A5F"/>
    <w:rsid w:val="28C6144A"/>
    <w:rsid w:val="28C878C3"/>
    <w:rsid w:val="28DD75F0"/>
    <w:rsid w:val="29090626"/>
    <w:rsid w:val="293C03A1"/>
    <w:rsid w:val="2A1006FA"/>
    <w:rsid w:val="2A1D28D2"/>
    <w:rsid w:val="2A2E7551"/>
    <w:rsid w:val="2A33604B"/>
    <w:rsid w:val="2A374805"/>
    <w:rsid w:val="2A77438F"/>
    <w:rsid w:val="2ABD6A83"/>
    <w:rsid w:val="2AD339A7"/>
    <w:rsid w:val="2AD417E1"/>
    <w:rsid w:val="2B25752B"/>
    <w:rsid w:val="2B6825D4"/>
    <w:rsid w:val="2BE772F2"/>
    <w:rsid w:val="2C5275A0"/>
    <w:rsid w:val="2C7E7560"/>
    <w:rsid w:val="2C8836C3"/>
    <w:rsid w:val="2CC6734C"/>
    <w:rsid w:val="2D23239C"/>
    <w:rsid w:val="2D772CA7"/>
    <w:rsid w:val="2D783531"/>
    <w:rsid w:val="2E195DAB"/>
    <w:rsid w:val="2E40391D"/>
    <w:rsid w:val="2E5A1B5A"/>
    <w:rsid w:val="2F546E49"/>
    <w:rsid w:val="300E12F2"/>
    <w:rsid w:val="30273D1D"/>
    <w:rsid w:val="30815946"/>
    <w:rsid w:val="30BD737C"/>
    <w:rsid w:val="30C90BDC"/>
    <w:rsid w:val="30DA1BCD"/>
    <w:rsid w:val="30E95D47"/>
    <w:rsid w:val="313C3C3D"/>
    <w:rsid w:val="314942A1"/>
    <w:rsid w:val="3160693E"/>
    <w:rsid w:val="31606D91"/>
    <w:rsid w:val="31766FB7"/>
    <w:rsid w:val="31B639EF"/>
    <w:rsid w:val="31E721BD"/>
    <w:rsid w:val="3201216D"/>
    <w:rsid w:val="326544D9"/>
    <w:rsid w:val="327411B4"/>
    <w:rsid w:val="32A64D62"/>
    <w:rsid w:val="32EA760B"/>
    <w:rsid w:val="33192145"/>
    <w:rsid w:val="33AC652E"/>
    <w:rsid w:val="33BC63DA"/>
    <w:rsid w:val="33CB0171"/>
    <w:rsid w:val="340B246C"/>
    <w:rsid w:val="34444815"/>
    <w:rsid w:val="35307AFD"/>
    <w:rsid w:val="35527ED3"/>
    <w:rsid w:val="35632145"/>
    <w:rsid w:val="35D562D0"/>
    <w:rsid w:val="36045D68"/>
    <w:rsid w:val="360B5A0F"/>
    <w:rsid w:val="368F4A38"/>
    <w:rsid w:val="36F722A5"/>
    <w:rsid w:val="370A79E6"/>
    <w:rsid w:val="37290997"/>
    <w:rsid w:val="37571684"/>
    <w:rsid w:val="37C57441"/>
    <w:rsid w:val="37DB2752"/>
    <w:rsid w:val="382754A5"/>
    <w:rsid w:val="384D5DAC"/>
    <w:rsid w:val="38B249C3"/>
    <w:rsid w:val="38B357A5"/>
    <w:rsid w:val="38BB64D7"/>
    <w:rsid w:val="3900509E"/>
    <w:rsid w:val="392D2BF6"/>
    <w:rsid w:val="39A613A7"/>
    <w:rsid w:val="39D0561F"/>
    <w:rsid w:val="39FD5AFB"/>
    <w:rsid w:val="3A3570E2"/>
    <w:rsid w:val="3A765DA4"/>
    <w:rsid w:val="3AAD058B"/>
    <w:rsid w:val="3AFD76E1"/>
    <w:rsid w:val="3B313C66"/>
    <w:rsid w:val="3C266EA1"/>
    <w:rsid w:val="3C394A07"/>
    <w:rsid w:val="3D2D01B5"/>
    <w:rsid w:val="3D4D2D2E"/>
    <w:rsid w:val="3D7704B3"/>
    <w:rsid w:val="3E0D3118"/>
    <w:rsid w:val="3E1D1AC2"/>
    <w:rsid w:val="3E300CBE"/>
    <w:rsid w:val="3E3D0B66"/>
    <w:rsid w:val="3E3D40DE"/>
    <w:rsid w:val="3E5C3FF8"/>
    <w:rsid w:val="3E924F38"/>
    <w:rsid w:val="3EEC6CA2"/>
    <w:rsid w:val="3EF61A47"/>
    <w:rsid w:val="3FB67587"/>
    <w:rsid w:val="3FC85556"/>
    <w:rsid w:val="403429F4"/>
    <w:rsid w:val="41222EAF"/>
    <w:rsid w:val="41947FB3"/>
    <w:rsid w:val="41BA2CF5"/>
    <w:rsid w:val="42440D10"/>
    <w:rsid w:val="42D94C5C"/>
    <w:rsid w:val="433C2209"/>
    <w:rsid w:val="435F737E"/>
    <w:rsid w:val="436C6CEB"/>
    <w:rsid w:val="438839F8"/>
    <w:rsid w:val="439C3E65"/>
    <w:rsid w:val="43BF12D7"/>
    <w:rsid w:val="43FE54AC"/>
    <w:rsid w:val="440C3B2B"/>
    <w:rsid w:val="441F0B16"/>
    <w:rsid w:val="4476189E"/>
    <w:rsid w:val="4481002A"/>
    <w:rsid w:val="44AC0656"/>
    <w:rsid w:val="44D02189"/>
    <w:rsid w:val="451A0072"/>
    <w:rsid w:val="454B049A"/>
    <w:rsid w:val="45A3177B"/>
    <w:rsid w:val="45F627DA"/>
    <w:rsid w:val="462B3D56"/>
    <w:rsid w:val="472C2D9C"/>
    <w:rsid w:val="474C001B"/>
    <w:rsid w:val="476770D2"/>
    <w:rsid w:val="47977EEC"/>
    <w:rsid w:val="480057C6"/>
    <w:rsid w:val="481C6BB6"/>
    <w:rsid w:val="481D0483"/>
    <w:rsid w:val="48654812"/>
    <w:rsid w:val="48755A36"/>
    <w:rsid w:val="48C72E52"/>
    <w:rsid w:val="48EE149E"/>
    <w:rsid w:val="490D0F78"/>
    <w:rsid w:val="491C121C"/>
    <w:rsid w:val="493B16DF"/>
    <w:rsid w:val="4953551D"/>
    <w:rsid w:val="49784CDA"/>
    <w:rsid w:val="497E3B15"/>
    <w:rsid w:val="49D866F5"/>
    <w:rsid w:val="4A14154B"/>
    <w:rsid w:val="4A1E7416"/>
    <w:rsid w:val="4A5A7EAB"/>
    <w:rsid w:val="4A5E3966"/>
    <w:rsid w:val="4A8E6ACF"/>
    <w:rsid w:val="4AC13D84"/>
    <w:rsid w:val="4ADD69A0"/>
    <w:rsid w:val="4AE20F59"/>
    <w:rsid w:val="4AFA2747"/>
    <w:rsid w:val="4B115470"/>
    <w:rsid w:val="4BC6087B"/>
    <w:rsid w:val="4BCD3199"/>
    <w:rsid w:val="4BE448C8"/>
    <w:rsid w:val="4C0C2A3D"/>
    <w:rsid w:val="4C6012B6"/>
    <w:rsid w:val="4C7C718B"/>
    <w:rsid w:val="4CA94424"/>
    <w:rsid w:val="4CAC2535"/>
    <w:rsid w:val="4CD22E94"/>
    <w:rsid w:val="4CD54E0C"/>
    <w:rsid w:val="4CE11174"/>
    <w:rsid w:val="4CE2073C"/>
    <w:rsid w:val="4D3D3A91"/>
    <w:rsid w:val="4D9439C8"/>
    <w:rsid w:val="4DD52FF7"/>
    <w:rsid w:val="4DD63967"/>
    <w:rsid w:val="4E647CBF"/>
    <w:rsid w:val="4F0E056F"/>
    <w:rsid w:val="4F1D4C56"/>
    <w:rsid w:val="4F344CB1"/>
    <w:rsid w:val="4F5A32BB"/>
    <w:rsid w:val="4F5B09DE"/>
    <w:rsid w:val="4F827E7B"/>
    <w:rsid w:val="4F9A44F8"/>
    <w:rsid w:val="4FEB4BC0"/>
    <w:rsid w:val="500E157E"/>
    <w:rsid w:val="50174569"/>
    <w:rsid w:val="50237D09"/>
    <w:rsid w:val="50D91050"/>
    <w:rsid w:val="51033100"/>
    <w:rsid w:val="511B144B"/>
    <w:rsid w:val="512A7F19"/>
    <w:rsid w:val="513F5357"/>
    <w:rsid w:val="51710C97"/>
    <w:rsid w:val="51856AE2"/>
    <w:rsid w:val="51A13392"/>
    <w:rsid w:val="52093869"/>
    <w:rsid w:val="52D000D0"/>
    <w:rsid w:val="5424018C"/>
    <w:rsid w:val="548B440F"/>
    <w:rsid w:val="54A101E4"/>
    <w:rsid w:val="54EC5A1E"/>
    <w:rsid w:val="550174F5"/>
    <w:rsid w:val="550C6112"/>
    <w:rsid w:val="552F21A7"/>
    <w:rsid w:val="55404FD4"/>
    <w:rsid w:val="55520DFC"/>
    <w:rsid w:val="556B78A2"/>
    <w:rsid w:val="55FA7A9F"/>
    <w:rsid w:val="5689497F"/>
    <w:rsid w:val="568C0CEA"/>
    <w:rsid w:val="568E510F"/>
    <w:rsid w:val="56900C49"/>
    <w:rsid w:val="56A87648"/>
    <w:rsid w:val="56CA2CE7"/>
    <w:rsid w:val="56D27ABE"/>
    <w:rsid w:val="5706231D"/>
    <w:rsid w:val="570F65A6"/>
    <w:rsid w:val="57AB2EBA"/>
    <w:rsid w:val="57C849C4"/>
    <w:rsid w:val="57D72641"/>
    <w:rsid w:val="58C344FF"/>
    <w:rsid w:val="58C65F97"/>
    <w:rsid w:val="59375A1D"/>
    <w:rsid w:val="59BA29B8"/>
    <w:rsid w:val="5A0F43F5"/>
    <w:rsid w:val="5A532C1D"/>
    <w:rsid w:val="5A68536B"/>
    <w:rsid w:val="5A7A4278"/>
    <w:rsid w:val="5AED7EAF"/>
    <w:rsid w:val="5B2E6B54"/>
    <w:rsid w:val="5B2F0AD2"/>
    <w:rsid w:val="5B4A2CEE"/>
    <w:rsid w:val="5B7C2D04"/>
    <w:rsid w:val="5B86360D"/>
    <w:rsid w:val="5BA94934"/>
    <w:rsid w:val="5BAA5AC3"/>
    <w:rsid w:val="5BF95F25"/>
    <w:rsid w:val="5C173CB8"/>
    <w:rsid w:val="5C3C5495"/>
    <w:rsid w:val="5CA241D1"/>
    <w:rsid w:val="5D1D7AE9"/>
    <w:rsid w:val="5D352F32"/>
    <w:rsid w:val="5D3E33A8"/>
    <w:rsid w:val="5E2F4613"/>
    <w:rsid w:val="5E3C6B86"/>
    <w:rsid w:val="5E4F2952"/>
    <w:rsid w:val="5E8143EE"/>
    <w:rsid w:val="5ECC1563"/>
    <w:rsid w:val="5F2F2831"/>
    <w:rsid w:val="5F3833E6"/>
    <w:rsid w:val="5F457F02"/>
    <w:rsid w:val="603451D7"/>
    <w:rsid w:val="60550818"/>
    <w:rsid w:val="606C3347"/>
    <w:rsid w:val="60804472"/>
    <w:rsid w:val="6096579F"/>
    <w:rsid w:val="61A62889"/>
    <w:rsid w:val="61DA0784"/>
    <w:rsid w:val="62083543"/>
    <w:rsid w:val="624E2A76"/>
    <w:rsid w:val="627B2BC9"/>
    <w:rsid w:val="6288754D"/>
    <w:rsid w:val="629E5BFD"/>
    <w:rsid w:val="62C111E2"/>
    <w:rsid w:val="62DE7DE4"/>
    <w:rsid w:val="62EF22C5"/>
    <w:rsid w:val="63472363"/>
    <w:rsid w:val="63A36AB8"/>
    <w:rsid w:val="63E11A6F"/>
    <w:rsid w:val="64074337"/>
    <w:rsid w:val="646F5DDE"/>
    <w:rsid w:val="64C71494"/>
    <w:rsid w:val="65154BC1"/>
    <w:rsid w:val="652D36A0"/>
    <w:rsid w:val="652F776C"/>
    <w:rsid w:val="65341BD3"/>
    <w:rsid w:val="654152E7"/>
    <w:rsid w:val="65503523"/>
    <w:rsid w:val="6572409C"/>
    <w:rsid w:val="658837F1"/>
    <w:rsid w:val="65B13FDF"/>
    <w:rsid w:val="65D53F00"/>
    <w:rsid w:val="66241EB8"/>
    <w:rsid w:val="662B2521"/>
    <w:rsid w:val="66434840"/>
    <w:rsid w:val="66591D2E"/>
    <w:rsid w:val="669E78F0"/>
    <w:rsid w:val="66C43265"/>
    <w:rsid w:val="67430C40"/>
    <w:rsid w:val="67784CC7"/>
    <w:rsid w:val="67B5430A"/>
    <w:rsid w:val="67CA375D"/>
    <w:rsid w:val="67DA40B6"/>
    <w:rsid w:val="681C492A"/>
    <w:rsid w:val="68A36ACA"/>
    <w:rsid w:val="69036813"/>
    <w:rsid w:val="69192B53"/>
    <w:rsid w:val="6985191D"/>
    <w:rsid w:val="698520BF"/>
    <w:rsid w:val="6A02208D"/>
    <w:rsid w:val="6A043427"/>
    <w:rsid w:val="6A4175F2"/>
    <w:rsid w:val="6A826383"/>
    <w:rsid w:val="6AA10441"/>
    <w:rsid w:val="6AB20D3C"/>
    <w:rsid w:val="6AF326FD"/>
    <w:rsid w:val="6B160F51"/>
    <w:rsid w:val="6B1D2BE4"/>
    <w:rsid w:val="6B2C4E3C"/>
    <w:rsid w:val="6B614135"/>
    <w:rsid w:val="6B791B9B"/>
    <w:rsid w:val="6BB40298"/>
    <w:rsid w:val="6BFE5D68"/>
    <w:rsid w:val="6C643A6C"/>
    <w:rsid w:val="6C682901"/>
    <w:rsid w:val="6C99655A"/>
    <w:rsid w:val="6E8D6C53"/>
    <w:rsid w:val="6E925AAF"/>
    <w:rsid w:val="6EAC291B"/>
    <w:rsid w:val="6EC62A4C"/>
    <w:rsid w:val="6F0E5A94"/>
    <w:rsid w:val="6F215C44"/>
    <w:rsid w:val="6F3B1A8C"/>
    <w:rsid w:val="6F5F61E2"/>
    <w:rsid w:val="6F8A1A3C"/>
    <w:rsid w:val="6F944668"/>
    <w:rsid w:val="6FF559D2"/>
    <w:rsid w:val="70606CFF"/>
    <w:rsid w:val="707945E1"/>
    <w:rsid w:val="70861C0E"/>
    <w:rsid w:val="708B40D2"/>
    <w:rsid w:val="709A7A5C"/>
    <w:rsid w:val="70A717A5"/>
    <w:rsid w:val="70B417B2"/>
    <w:rsid w:val="70C37494"/>
    <w:rsid w:val="70E37468"/>
    <w:rsid w:val="71281BE8"/>
    <w:rsid w:val="712E4768"/>
    <w:rsid w:val="717F0D55"/>
    <w:rsid w:val="71931360"/>
    <w:rsid w:val="71D368CA"/>
    <w:rsid w:val="724C5965"/>
    <w:rsid w:val="726E2F4F"/>
    <w:rsid w:val="727C14DD"/>
    <w:rsid w:val="72A82528"/>
    <w:rsid w:val="72CA08CF"/>
    <w:rsid w:val="72CA388E"/>
    <w:rsid w:val="7330127B"/>
    <w:rsid w:val="73613BAB"/>
    <w:rsid w:val="740C16F8"/>
    <w:rsid w:val="74A12E1F"/>
    <w:rsid w:val="74FC2DCF"/>
    <w:rsid w:val="75084AB4"/>
    <w:rsid w:val="757C7539"/>
    <w:rsid w:val="75B35DEE"/>
    <w:rsid w:val="75FC2F9C"/>
    <w:rsid w:val="7620086F"/>
    <w:rsid w:val="763E3AFC"/>
    <w:rsid w:val="76766154"/>
    <w:rsid w:val="769413F2"/>
    <w:rsid w:val="769F4196"/>
    <w:rsid w:val="76CC7942"/>
    <w:rsid w:val="76F75C22"/>
    <w:rsid w:val="76FD6F97"/>
    <w:rsid w:val="772275E6"/>
    <w:rsid w:val="7729172E"/>
    <w:rsid w:val="772D3DE0"/>
    <w:rsid w:val="779001B2"/>
    <w:rsid w:val="77BA649D"/>
    <w:rsid w:val="77C74774"/>
    <w:rsid w:val="78143D87"/>
    <w:rsid w:val="78150BFB"/>
    <w:rsid w:val="78431D15"/>
    <w:rsid w:val="786879FC"/>
    <w:rsid w:val="786A240A"/>
    <w:rsid w:val="786D3C45"/>
    <w:rsid w:val="790941DD"/>
    <w:rsid w:val="790E1B84"/>
    <w:rsid w:val="79650B4A"/>
    <w:rsid w:val="7AD467A5"/>
    <w:rsid w:val="7AF26336"/>
    <w:rsid w:val="7BB44312"/>
    <w:rsid w:val="7C6D637A"/>
    <w:rsid w:val="7CA256DD"/>
    <w:rsid w:val="7CD5581E"/>
    <w:rsid w:val="7CDB7866"/>
    <w:rsid w:val="7D0070CE"/>
    <w:rsid w:val="7D926908"/>
    <w:rsid w:val="7DC13616"/>
    <w:rsid w:val="7DE55DD8"/>
    <w:rsid w:val="7E1130F1"/>
    <w:rsid w:val="7E247426"/>
    <w:rsid w:val="7E8671C3"/>
    <w:rsid w:val="7EA95311"/>
    <w:rsid w:val="7EDE28DD"/>
    <w:rsid w:val="7F1E2C48"/>
    <w:rsid w:val="7F260B56"/>
    <w:rsid w:val="7F361BCE"/>
    <w:rsid w:val="7F3A756C"/>
    <w:rsid w:val="7F5A1AC0"/>
    <w:rsid w:val="7F5B3462"/>
    <w:rsid w:val="7FC57FC7"/>
    <w:rsid w:val="7FD95954"/>
    <w:rsid w:val="7FF06BE9"/>
    <w:rsid w:val="7FF105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99" w:semiHidden="0"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360" w:lineRule="auto"/>
      <w:ind w:firstLine="200" w:firstLineChars="200"/>
      <w:jc w:val="both"/>
    </w:pPr>
    <w:rPr>
      <w:rFonts w:ascii="Times New Roman" w:hAnsi="Times New Roman" w:eastAsia="仿宋_GB2312" w:cstheme="minorBidi"/>
      <w:kern w:val="2"/>
      <w:sz w:val="32"/>
      <w:szCs w:val="24"/>
      <w:lang w:val="en-US" w:eastAsia="zh-CN" w:bidi="ar-SA"/>
      <w14:ligatures w14:val="standardContextual"/>
    </w:rPr>
  </w:style>
  <w:style w:type="paragraph" w:styleId="3">
    <w:name w:val="heading 1"/>
    <w:basedOn w:val="1"/>
    <w:next w:val="1"/>
    <w:link w:val="28"/>
    <w:qFormat/>
    <w:uiPriority w:val="9"/>
    <w:pPr>
      <w:keepNext/>
      <w:keepLines/>
      <w:spacing w:line="600" w:lineRule="auto"/>
      <w:ind w:firstLine="0" w:firstLineChars="0"/>
      <w:jc w:val="center"/>
      <w:outlineLvl w:val="0"/>
    </w:pPr>
    <w:rPr>
      <w:rFonts w:ascii="Times New Roman" w:hAnsi="Times New Roman" w:eastAsia="黑体" w:cstheme="majorBidi"/>
      <w:szCs w:val="48"/>
    </w:rPr>
  </w:style>
  <w:style w:type="paragraph" w:styleId="4">
    <w:name w:val="heading 2"/>
    <w:basedOn w:val="1"/>
    <w:next w:val="1"/>
    <w:link w:val="29"/>
    <w:unhideWhenUsed/>
    <w:qFormat/>
    <w:uiPriority w:val="9"/>
    <w:pPr>
      <w:keepNext/>
      <w:keepLines/>
      <w:ind w:firstLine="0" w:firstLineChars="0"/>
      <w:jc w:val="center"/>
      <w:outlineLvl w:val="1"/>
    </w:pPr>
    <w:rPr>
      <w:rFonts w:ascii="Times New Roman" w:hAnsi="Times New Roman" w:eastAsia="楷体_GB2312" w:cstheme="majorBidi"/>
      <w:b/>
      <w:szCs w:val="40"/>
    </w:rPr>
  </w:style>
  <w:style w:type="paragraph" w:styleId="2">
    <w:name w:val="heading 3"/>
    <w:basedOn w:val="1"/>
    <w:next w:val="1"/>
    <w:link w:val="30"/>
    <w:unhideWhenUsed/>
    <w:qFormat/>
    <w:uiPriority w:val="9"/>
    <w:pPr>
      <w:keepNext/>
      <w:keepLines/>
      <w:outlineLvl w:val="2"/>
    </w:pPr>
    <w:rPr>
      <w:rFonts w:cstheme="majorBidi"/>
      <w:b/>
      <w:szCs w:val="32"/>
    </w:rPr>
  </w:style>
  <w:style w:type="paragraph" w:styleId="5">
    <w:name w:val="heading 4"/>
    <w:basedOn w:val="1"/>
    <w:next w:val="1"/>
    <w:link w:val="31"/>
    <w:semiHidden/>
    <w:unhideWhenUsed/>
    <w:qFormat/>
    <w:uiPriority w:val="9"/>
    <w:pPr>
      <w:keepNext/>
      <w:keepLines/>
      <w:spacing w:before="80" w:after="40"/>
      <w:outlineLvl w:val="3"/>
    </w:pPr>
    <w:rPr>
      <w:rFonts w:cstheme="majorBidi"/>
      <w:color w:val="104862" w:themeColor="accent1" w:themeShade="BF"/>
      <w:szCs w:val="28"/>
    </w:rPr>
  </w:style>
  <w:style w:type="paragraph" w:styleId="6">
    <w:name w:val="heading 5"/>
    <w:basedOn w:val="1"/>
    <w:next w:val="1"/>
    <w:link w:val="32"/>
    <w:semiHidden/>
    <w:unhideWhenUsed/>
    <w:qFormat/>
    <w:uiPriority w:val="9"/>
    <w:pPr>
      <w:keepNext/>
      <w:keepLines/>
      <w:spacing w:before="80" w:after="40"/>
      <w:outlineLvl w:val="4"/>
    </w:pPr>
    <w:rPr>
      <w:rFonts w:cstheme="majorBidi"/>
      <w:color w:val="104862" w:themeColor="accent1" w:themeShade="BF"/>
      <w:sz w:val="24"/>
    </w:rPr>
  </w:style>
  <w:style w:type="paragraph" w:styleId="7">
    <w:name w:val="heading 6"/>
    <w:basedOn w:val="1"/>
    <w:next w:val="1"/>
    <w:link w:val="33"/>
    <w:semiHidden/>
    <w:unhideWhenUsed/>
    <w:qFormat/>
    <w:uiPriority w:val="9"/>
    <w:pPr>
      <w:keepNext/>
      <w:keepLines/>
      <w:spacing w:before="40"/>
      <w:outlineLvl w:val="5"/>
    </w:pPr>
    <w:rPr>
      <w:rFonts w:cstheme="majorBidi"/>
      <w:b/>
      <w:bCs/>
      <w:color w:val="104862" w:themeColor="accent1" w:themeShade="BF"/>
    </w:rPr>
  </w:style>
  <w:style w:type="paragraph" w:styleId="8">
    <w:name w:val="heading 7"/>
    <w:basedOn w:val="1"/>
    <w:next w:val="1"/>
    <w:link w:val="34"/>
    <w:semiHidden/>
    <w:unhideWhenUsed/>
    <w:qFormat/>
    <w:uiPriority w:val="9"/>
    <w:pPr>
      <w:keepNext/>
      <w:keepLines/>
      <w:spacing w:before="40"/>
      <w:outlineLvl w:val="6"/>
    </w:pPr>
    <w:rPr>
      <w:rFonts w:cstheme="majorBidi"/>
      <w:b/>
      <w:bCs/>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35"/>
    <w:semiHidden/>
    <w:unhideWhenUsed/>
    <w:qFormat/>
    <w:uiPriority w:val="9"/>
    <w:pPr>
      <w:keepNext/>
      <w:keepLines/>
      <w:outlineLvl w:val="7"/>
    </w:pPr>
    <w:rPr>
      <w:rFonts w:cstheme="majorBidi"/>
      <w:color w:val="595959" w:themeColor="text1" w:themeTint="A6"/>
      <w14:textFill>
        <w14:solidFill>
          <w14:schemeClr w14:val="tx1">
            <w14:lumMod w14:val="65000"/>
            <w14:lumOff w14:val="35000"/>
          </w14:schemeClr>
        </w14:solidFill>
      </w14:textFill>
    </w:rPr>
  </w:style>
  <w:style w:type="paragraph" w:styleId="10">
    <w:name w:val="heading 9"/>
    <w:basedOn w:val="1"/>
    <w:next w:val="1"/>
    <w:link w:val="36"/>
    <w:semiHidden/>
    <w:unhideWhenUsed/>
    <w:qFormat/>
    <w:uiPriority w:val="9"/>
    <w:pPr>
      <w:keepNext/>
      <w:keepLines/>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25">
    <w:name w:val="Default Paragraph Font"/>
    <w:semiHidden/>
    <w:unhideWhenUsed/>
    <w:qFormat/>
    <w:uiPriority w:val="1"/>
  </w:style>
  <w:style w:type="table" w:default="1" w:styleId="23">
    <w:name w:val="Normal Table"/>
    <w:semiHidden/>
    <w:unhideWhenUsed/>
    <w:qFormat/>
    <w:uiPriority w:val="99"/>
    <w:tblPr>
      <w:tblCellMar>
        <w:top w:w="0" w:type="dxa"/>
        <w:left w:w="108" w:type="dxa"/>
        <w:bottom w:w="0" w:type="dxa"/>
        <w:right w:w="108" w:type="dxa"/>
      </w:tblCellMar>
    </w:tblPr>
  </w:style>
  <w:style w:type="paragraph" w:styleId="11">
    <w:name w:val="Normal Indent"/>
    <w:basedOn w:val="1"/>
    <w:qFormat/>
    <w:uiPriority w:val="0"/>
    <w:pPr>
      <w:spacing w:line="240" w:lineRule="auto"/>
      <w:ind w:firstLine="420"/>
    </w:pPr>
    <w:rPr>
      <w:rFonts w:asciiTheme="minorHAnsi" w:hAnsiTheme="minorHAnsi" w:eastAsiaTheme="minorEastAsia"/>
      <w:sz w:val="21"/>
      <w14:ligatures w14:val="none"/>
    </w:rPr>
  </w:style>
  <w:style w:type="paragraph" w:styleId="12">
    <w:name w:val="Body Text Indent"/>
    <w:basedOn w:val="1"/>
    <w:next w:val="13"/>
    <w:qFormat/>
    <w:uiPriority w:val="0"/>
    <w:pPr>
      <w:spacing w:after="120"/>
      <w:ind w:left="420" w:leftChars="200"/>
    </w:pPr>
    <w:rPr>
      <w:rFonts w:ascii="Times New Roman" w:hAnsi="Times New Roman" w:cs="方正仿宋_GB2312"/>
      <w:sz w:val="32"/>
      <w:szCs w:val="32"/>
    </w:rPr>
  </w:style>
  <w:style w:type="paragraph" w:styleId="13">
    <w:name w:val="Body Text Indent 2"/>
    <w:basedOn w:val="1"/>
    <w:qFormat/>
    <w:uiPriority w:val="0"/>
    <w:pPr>
      <w:ind w:firstLine="630"/>
    </w:pPr>
    <w:rPr>
      <w:b/>
      <w:sz w:val="32"/>
      <w:szCs w:val="32"/>
    </w:rPr>
  </w:style>
  <w:style w:type="paragraph" w:styleId="14">
    <w:name w:val="toc 3"/>
    <w:basedOn w:val="1"/>
    <w:next w:val="1"/>
    <w:autoRedefine/>
    <w:unhideWhenUsed/>
    <w:qFormat/>
    <w:uiPriority w:val="39"/>
    <w:pPr>
      <w:ind w:left="200" w:leftChars="200" w:firstLine="0" w:firstLineChars="0"/>
    </w:pPr>
  </w:style>
  <w:style w:type="paragraph" w:styleId="15">
    <w:name w:val="footer"/>
    <w:basedOn w:val="1"/>
    <w:link w:val="47"/>
    <w:unhideWhenUsed/>
    <w:qFormat/>
    <w:uiPriority w:val="99"/>
    <w:pPr>
      <w:tabs>
        <w:tab w:val="center" w:pos="4153"/>
        <w:tab w:val="right" w:pos="8306"/>
      </w:tabs>
      <w:snapToGrid w:val="0"/>
      <w:spacing w:line="240" w:lineRule="auto"/>
    </w:pPr>
    <w:rPr>
      <w:sz w:val="18"/>
      <w:szCs w:val="18"/>
    </w:rPr>
  </w:style>
  <w:style w:type="paragraph" w:styleId="16">
    <w:name w:val="header"/>
    <w:basedOn w:val="1"/>
    <w:link w:val="46"/>
    <w:unhideWhenUsed/>
    <w:qFormat/>
    <w:uiPriority w:val="99"/>
    <w:pPr>
      <w:tabs>
        <w:tab w:val="center" w:pos="4153"/>
        <w:tab w:val="right" w:pos="8306"/>
      </w:tabs>
      <w:snapToGrid w:val="0"/>
      <w:spacing w:line="240" w:lineRule="auto"/>
      <w:jc w:val="center"/>
    </w:pPr>
    <w:rPr>
      <w:sz w:val="18"/>
      <w:szCs w:val="18"/>
    </w:rPr>
  </w:style>
  <w:style w:type="paragraph" w:styleId="17">
    <w:name w:val="toc 1"/>
    <w:basedOn w:val="1"/>
    <w:next w:val="1"/>
    <w:autoRedefine/>
    <w:unhideWhenUsed/>
    <w:qFormat/>
    <w:uiPriority w:val="39"/>
    <w:pPr>
      <w:ind w:firstLine="0" w:firstLineChars="0"/>
    </w:pPr>
    <w:rPr>
      <w:b/>
    </w:rPr>
  </w:style>
  <w:style w:type="paragraph" w:styleId="18">
    <w:name w:val="Subtitle"/>
    <w:basedOn w:val="1"/>
    <w:next w:val="1"/>
    <w:link w:val="38"/>
    <w:qFormat/>
    <w:uiPriority w:val="11"/>
    <w:pPr>
      <w:jc w:val="center"/>
    </w:pPr>
    <w:rPr>
      <w:rFonts w:asciiTheme="majorHAnsi" w:hAnsiTheme="majorHAnsi" w:eastAsiaTheme="majorEastAsia" w:cstheme="majorBidi"/>
      <w:color w:val="595959" w:themeColor="text1" w:themeTint="A6"/>
      <w:spacing w:val="15"/>
      <w:szCs w:val="28"/>
      <w14:textFill>
        <w14:solidFill>
          <w14:schemeClr w14:val="tx1">
            <w14:lumMod w14:val="65000"/>
            <w14:lumOff w14:val="35000"/>
          </w14:schemeClr>
        </w14:solidFill>
      </w14:textFill>
    </w:rPr>
  </w:style>
  <w:style w:type="paragraph" w:styleId="19">
    <w:name w:val="toc 2"/>
    <w:basedOn w:val="1"/>
    <w:next w:val="1"/>
    <w:autoRedefine/>
    <w:unhideWhenUsed/>
    <w:qFormat/>
    <w:uiPriority w:val="39"/>
    <w:pPr>
      <w:ind w:left="100" w:leftChars="100" w:firstLine="0" w:firstLineChars="0"/>
    </w:pPr>
    <w:rPr>
      <w:b/>
    </w:rPr>
  </w:style>
  <w:style w:type="paragraph" w:styleId="20">
    <w:name w:val="Normal (Web)"/>
    <w:basedOn w:val="1"/>
    <w:semiHidden/>
    <w:unhideWhenUsed/>
    <w:qFormat/>
    <w:uiPriority w:val="99"/>
    <w:rPr>
      <w:rFonts w:cs="Times New Roman"/>
      <w:sz w:val="24"/>
    </w:rPr>
  </w:style>
  <w:style w:type="paragraph" w:styleId="21">
    <w:name w:val="Title"/>
    <w:basedOn w:val="1"/>
    <w:link w:val="37"/>
    <w:qFormat/>
    <w:uiPriority w:val="10"/>
    <w:pPr>
      <w:spacing w:after="80" w:line="240" w:lineRule="auto"/>
      <w:contextualSpacing/>
      <w:jc w:val="center"/>
    </w:pPr>
    <w:rPr>
      <w:rFonts w:asciiTheme="majorHAnsi" w:hAnsiTheme="majorHAnsi" w:eastAsiaTheme="majorEastAsia" w:cstheme="majorBidi"/>
      <w:spacing w:val="-10"/>
      <w:kern w:val="28"/>
      <w:sz w:val="56"/>
      <w:szCs w:val="56"/>
    </w:rPr>
  </w:style>
  <w:style w:type="paragraph" w:styleId="22">
    <w:name w:val="Body Text First Indent 2"/>
    <w:basedOn w:val="1"/>
    <w:next w:val="1"/>
    <w:qFormat/>
    <w:uiPriority w:val="99"/>
    <w:pPr>
      <w:ind w:firstLine="420"/>
    </w:pPr>
  </w:style>
  <w:style w:type="table" w:styleId="24">
    <w:name w:val="Table Grid"/>
    <w:basedOn w:val="23"/>
    <w:qFormat/>
    <w:uiPriority w:val="99"/>
    <w:rPr>
      <w:rFonts w:ascii="Times New Roman" w:hAnsi="Times New Roman" w:eastAsia="Times New Roman"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6">
    <w:name w:val="Strong"/>
    <w:basedOn w:val="25"/>
    <w:qFormat/>
    <w:uiPriority w:val="22"/>
    <w:rPr>
      <w:b/>
    </w:rPr>
  </w:style>
  <w:style w:type="character" w:styleId="27">
    <w:name w:val="Hyperlink"/>
    <w:basedOn w:val="25"/>
    <w:unhideWhenUsed/>
    <w:qFormat/>
    <w:uiPriority w:val="99"/>
    <w:rPr>
      <w:color w:val="467886" w:themeColor="hyperlink"/>
      <w:u w:val="single"/>
      <w14:textFill>
        <w14:solidFill>
          <w14:schemeClr w14:val="hlink"/>
        </w14:solidFill>
      </w14:textFill>
    </w:rPr>
  </w:style>
  <w:style w:type="character" w:customStyle="1" w:styleId="28">
    <w:name w:val="标题 1 字符"/>
    <w:basedOn w:val="25"/>
    <w:link w:val="3"/>
    <w:qFormat/>
    <w:uiPriority w:val="9"/>
    <w:rPr>
      <w:rFonts w:ascii="Times New Roman" w:hAnsi="Times New Roman" w:eastAsia="黑体" w:cstheme="majorBidi"/>
      <w:sz w:val="32"/>
      <w:szCs w:val="48"/>
    </w:rPr>
  </w:style>
  <w:style w:type="character" w:customStyle="1" w:styleId="29">
    <w:name w:val="标题 2 字符"/>
    <w:basedOn w:val="25"/>
    <w:link w:val="4"/>
    <w:qFormat/>
    <w:uiPriority w:val="9"/>
    <w:rPr>
      <w:rFonts w:ascii="Times New Roman" w:hAnsi="Times New Roman" w:eastAsia="楷体_GB2312" w:cstheme="majorBidi"/>
      <w:b/>
      <w:kern w:val="2"/>
      <w:sz w:val="32"/>
      <w:szCs w:val="40"/>
      <w14:ligatures w14:val="standardContextual"/>
    </w:rPr>
  </w:style>
  <w:style w:type="character" w:customStyle="1" w:styleId="30">
    <w:name w:val="标题 3 字符"/>
    <w:basedOn w:val="25"/>
    <w:link w:val="2"/>
    <w:qFormat/>
    <w:uiPriority w:val="9"/>
    <w:rPr>
      <w:rFonts w:ascii="Times New Roman" w:hAnsi="Times New Roman" w:eastAsia="仿宋_GB2312" w:cstheme="majorBidi"/>
      <w:b/>
      <w:sz w:val="28"/>
      <w:szCs w:val="32"/>
    </w:rPr>
  </w:style>
  <w:style w:type="character" w:customStyle="1" w:styleId="31">
    <w:name w:val="标题 4 字符"/>
    <w:basedOn w:val="25"/>
    <w:link w:val="5"/>
    <w:semiHidden/>
    <w:qFormat/>
    <w:uiPriority w:val="9"/>
    <w:rPr>
      <w:rFonts w:cstheme="majorBidi"/>
      <w:color w:val="104862" w:themeColor="accent1" w:themeShade="BF"/>
      <w:sz w:val="28"/>
      <w:szCs w:val="28"/>
    </w:rPr>
  </w:style>
  <w:style w:type="character" w:customStyle="1" w:styleId="32">
    <w:name w:val="标题 5 字符"/>
    <w:basedOn w:val="25"/>
    <w:link w:val="6"/>
    <w:semiHidden/>
    <w:qFormat/>
    <w:uiPriority w:val="9"/>
    <w:rPr>
      <w:rFonts w:cstheme="majorBidi"/>
      <w:color w:val="104862" w:themeColor="accent1" w:themeShade="BF"/>
      <w:sz w:val="24"/>
    </w:rPr>
  </w:style>
  <w:style w:type="character" w:customStyle="1" w:styleId="33">
    <w:name w:val="标题 6 字符"/>
    <w:basedOn w:val="25"/>
    <w:link w:val="7"/>
    <w:semiHidden/>
    <w:qFormat/>
    <w:uiPriority w:val="9"/>
    <w:rPr>
      <w:rFonts w:cstheme="majorBidi"/>
      <w:b/>
      <w:bCs/>
      <w:color w:val="104862" w:themeColor="accent1" w:themeShade="BF"/>
    </w:rPr>
  </w:style>
  <w:style w:type="character" w:customStyle="1" w:styleId="34">
    <w:name w:val="标题 7 字符"/>
    <w:basedOn w:val="25"/>
    <w:link w:val="8"/>
    <w:semiHidden/>
    <w:qFormat/>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35">
    <w:name w:val="标题 8 字符"/>
    <w:basedOn w:val="25"/>
    <w:link w:val="9"/>
    <w:semiHidden/>
    <w:qFormat/>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36">
    <w:name w:val="标题 9 字符"/>
    <w:basedOn w:val="25"/>
    <w:link w:val="10"/>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37">
    <w:name w:val="标题 字符"/>
    <w:basedOn w:val="25"/>
    <w:link w:val="21"/>
    <w:qFormat/>
    <w:uiPriority w:val="10"/>
    <w:rPr>
      <w:rFonts w:asciiTheme="majorHAnsi" w:hAnsiTheme="majorHAnsi" w:eastAsiaTheme="majorEastAsia" w:cstheme="majorBidi"/>
      <w:spacing w:val="-10"/>
      <w:kern w:val="28"/>
      <w:sz w:val="56"/>
      <w:szCs w:val="56"/>
    </w:rPr>
  </w:style>
  <w:style w:type="character" w:customStyle="1" w:styleId="38">
    <w:name w:val="副标题 字符"/>
    <w:basedOn w:val="25"/>
    <w:link w:val="18"/>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39">
    <w:name w:val="Quote"/>
    <w:basedOn w:val="1"/>
    <w:next w:val="1"/>
    <w:link w:val="40"/>
    <w:qFormat/>
    <w:uiPriority w:val="29"/>
    <w:pPr>
      <w:spacing w:before="160"/>
      <w:jc w:val="center"/>
    </w:pPr>
    <w:rPr>
      <w:i/>
      <w:iCs/>
      <w:color w:val="404040" w:themeColor="text1" w:themeTint="BF"/>
      <w14:textFill>
        <w14:solidFill>
          <w14:schemeClr w14:val="tx1">
            <w14:lumMod w14:val="75000"/>
            <w14:lumOff w14:val="25000"/>
          </w14:schemeClr>
        </w14:solidFill>
      </w14:textFill>
    </w:rPr>
  </w:style>
  <w:style w:type="character" w:customStyle="1" w:styleId="40">
    <w:name w:val="引用 字符"/>
    <w:basedOn w:val="25"/>
    <w:link w:val="39"/>
    <w:qFormat/>
    <w:uiPriority w:val="29"/>
    <w:rPr>
      <w:i/>
      <w:iCs/>
      <w:color w:val="404040" w:themeColor="text1" w:themeTint="BF"/>
      <w14:textFill>
        <w14:solidFill>
          <w14:schemeClr w14:val="tx1">
            <w14:lumMod w14:val="75000"/>
            <w14:lumOff w14:val="25000"/>
          </w14:schemeClr>
        </w14:solidFill>
      </w14:textFill>
    </w:rPr>
  </w:style>
  <w:style w:type="paragraph" w:styleId="41">
    <w:name w:val="List Paragraph"/>
    <w:basedOn w:val="1"/>
    <w:qFormat/>
    <w:uiPriority w:val="34"/>
    <w:pPr>
      <w:ind w:left="720"/>
      <w:contextualSpacing/>
    </w:pPr>
  </w:style>
  <w:style w:type="character" w:customStyle="1" w:styleId="42">
    <w:name w:val="明显强调1"/>
    <w:basedOn w:val="25"/>
    <w:qFormat/>
    <w:uiPriority w:val="21"/>
    <w:rPr>
      <w:i/>
      <w:iCs/>
      <w:color w:val="104862" w:themeColor="accent1" w:themeShade="BF"/>
    </w:rPr>
  </w:style>
  <w:style w:type="paragraph" w:styleId="43">
    <w:name w:val="Intense Quote"/>
    <w:basedOn w:val="1"/>
    <w:next w:val="1"/>
    <w:link w:val="44"/>
    <w:qFormat/>
    <w:uiPriority w:val="30"/>
    <w:pPr>
      <w:pBdr>
        <w:top w:val="single" w:color="0F4761" w:themeColor="accent1" w:themeShade="BF" w:sz="4" w:space="10"/>
        <w:bottom w:val="single" w:color="0F4761" w:themeColor="accent1" w:themeShade="BF" w:sz="4" w:space="10"/>
      </w:pBdr>
      <w:spacing w:before="360" w:after="360"/>
      <w:ind w:left="864" w:right="864"/>
      <w:jc w:val="center"/>
    </w:pPr>
    <w:rPr>
      <w:i/>
      <w:iCs/>
      <w:color w:val="104862" w:themeColor="accent1" w:themeShade="BF"/>
    </w:rPr>
  </w:style>
  <w:style w:type="character" w:customStyle="1" w:styleId="44">
    <w:name w:val="明显引用 字符"/>
    <w:basedOn w:val="25"/>
    <w:link w:val="43"/>
    <w:qFormat/>
    <w:uiPriority w:val="30"/>
    <w:rPr>
      <w:i/>
      <w:iCs/>
      <w:color w:val="104862" w:themeColor="accent1" w:themeShade="BF"/>
    </w:rPr>
  </w:style>
  <w:style w:type="character" w:customStyle="1" w:styleId="45">
    <w:name w:val="明显参考1"/>
    <w:basedOn w:val="25"/>
    <w:qFormat/>
    <w:uiPriority w:val="32"/>
    <w:rPr>
      <w:b/>
      <w:bCs/>
      <w:smallCaps/>
      <w:color w:val="104862" w:themeColor="accent1" w:themeShade="BF"/>
      <w:spacing w:val="5"/>
    </w:rPr>
  </w:style>
  <w:style w:type="character" w:customStyle="1" w:styleId="46">
    <w:name w:val="页眉 字符"/>
    <w:basedOn w:val="25"/>
    <w:link w:val="16"/>
    <w:qFormat/>
    <w:uiPriority w:val="99"/>
    <w:rPr>
      <w:sz w:val="18"/>
      <w:szCs w:val="18"/>
    </w:rPr>
  </w:style>
  <w:style w:type="character" w:customStyle="1" w:styleId="47">
    <w:name w:val="页脚 字符"/>
    <w:basedOn w:val="25"/>
    <w:link w:val="15"/>
    <w:qFormat/>
    <w:uiPriority w:val="99"/>
    <w:rPr>
      <w:sz w:val="18"/>
      <w:szCs w:val="18"/>
    </w:rPr>
  </w:style>
  <w:style w:type="table" w:customStyle="1" w:styleId="48">
    <w:name w:val="Table Normal"/>
    <w:basedOn w:val="23"/>
    <w:qFormat/>
    <w:uiPriority w:val="0"/>
    <w:rPr>
      <w:rFonts w:ascii="Times New Roman" w:hAnsi="Times New Roman" w:eastAsia="Times New Roman" w:cs="Times New Roman"/>
    </w:rPr>
    <w:tblPr>
      <w:tblCellMar>
        <w:left w:w="0" w:type="dxa"/>
        <w:right w:w="0" w:type="dxa"/>
      </w:tblCellMar>
    </w:tblPr>
  </w:style>
  <w:style w:type="table" w:customStyle="1" w:styleId="49">
    <w:name w:val="Table Normal1"/>
    <w:semiHidden/>
    <w:unhideWhenUsed/>
    <w:qFormat/>
    <w:uiPriority w:val="0"/>
    <w:rPr>
      <w:rFonts w:ascii="Arial" w:hAnsi="Arial" w:cs="Arial"/>
      <w:snapToGrid w:val="0"/>
      <w:color w:val="000000"/>
      <w:sz w:val="21"/>
      <w:szCs w:val="21"/>
      <w:lang w:eastAsia="en-US"/>
    </w:rPr>
    <w:tblPr>
      <w:tblCellMar>
        <w:top w:w="0" w:type="dxa"/>
        <w:left w:w="0" w:type="dxa"/>
        <w:bottom w:w="0" w:type="dxa"/>
        <w:right w:w="0" w:type="dxa"/>
      </w:tblCellMar>
    </w:tblPr>
  </w:style>
  <w:style w:type="paragraph" w:customStyle="1" w:styleId="50">
    <w:name w:val="修订1"/>
    <w:hidden/>
    <w:unhideWhenUsed/>
    <w:qFormat/>
    <w:uiPriority w:val="99"/>
    <w:rPr>
      <w:rFonts w:ascii="Times New Roman" w:hAnsi="Times New Roman" w:eastAsia="仿宋_GB2312" w:cstheme="minorBidi"/>
      <w:kern w:val="2"/>
      <w:sz w:val="32"/>
      <w:szCs w:val="24"/>
      <w:lang w:val="en-US" w:eastAsia="zh-CN" w:bidi="ar-SA"/>
      <w14:ligatures w14:val="standardContextual"/>
    </w:rPr>
  </w:style>
  <w:style w:type="paragraph" w:customStyle="1" w:styleId="51">
    <w:name w:val="通用格式-GB2312"/>
    <w:basedOn w:val="1"/>
    <w:qFormat/>
    <w:uiPriority w:val="0"/>
    <w:rPr>
      <w:rFonts w:ascii="Times New Roman" w:hAnsi="Times New Roman"/>
      <w:sz w:val="32"/>
    </w:rPr>
  </w:style>
  <w:style w:type="character" w:customStyle="1" w:styleId="52">
    <w:name w:val="font181"/>
    <w:basedOn w:val="25"/>
    <w:qFormat/>
    <w:uiPriority w:val="0"/>
    <w:rPr>
      <w:rFonts w:hint="default" w:ascii="Times New Roman" w:hAnsi="Times New Roman" w:cs="Times New Roman"/>
      <w:color w:val="000000"/>
      <w:sz w:val="20"/>
      <w:szCs w:val="20"/>
      <w:u w:val="none"/>
    </w:rPr>
  </w:style>
  <w:style w:type="character" w:customStyle="1" w:styleId="53">
    <w:name w:val="font191"/>
    <w:basedOn w:val="25"/>
    <w:qFormat/>
    <w:uiPriority w:val="0"/>
    <w:rPr>
      <w:rFonts w:hint="default" w:ascii="仿宋_GB2312" w:eastAsia="仿宋_GB2312" w:cs="仿宋_GB2312"/>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3D7FDC7-5F6C-47CF-BC4F-B4BF0CB45490}">
  <ds:schemaRefs/>
</ds:datastoreItem>
</file>

<file path=docProps/app.xml><?xml version="1.0" encoding="utf-8"?>
<Properties xmlns="http://schemas.openxmlformats.org/officeDocument/2006/extended-properties" xmlns:vt="http://schemas.openxmlformats.org/officeDocument/2006/docPropsVTypes">
  <Template>Normal</Template>
  <Pages>11</Pages>
  <Words>5968</Words>
  <Characters>6085</Characters>
  <Lines>288</Lines>
  <Paragraphs>88</Paragraphs>
  <TotalTime>7</TotalTime>
  <ScaleCrop>false</ScaleCrop>
  <LinksUpToDate>false</LinksUpToDate>
  <CharactersWithSpaces>6086</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2025-02-20T07:55:00Z</dcterms:created>
  <dc:creator>林萍 陈</dc:creator>
  <cp:lastModifiedBy>王 俞</cp:lastModifiedBy>
  <dcterms:modified xsi:type="dcterms:W3CDTF">2025-12-18T08:50:07Z</dcterms:modified>
  <cp:revision>261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eyJoZGlkIjoiZTU0ZDEwYzQyNGUwNDczYzZhYzYzMGJjNThmNGYyZDAiLCJ1c2VySWQiOiIzNTcwMTYwOTkifQ==</vt:lpwstr>
  </property>
  <property fmtid="{D5CDD505-2E9C-101B-9397-08002B2CF9AE}" pid="3" name="KSOProductBuildVer">
    <vt:lpwstr>2052-12.1.0.24034</vt:lpwstr>
  </property>
  <property fmtid="{D5CDD505-2E9C-101B-9397-08002B2CF9AE}" pid="4" name="ICV">
    <vt:lpwstr>E3F6F7B149434FBFAEB16A0C7ECE41B5_13</vt:lpwstr>
  </property>
</Properties>
</file>