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简体"/>
          <w:sz w:val="44"/>
          <w:szCs w:val="44"/>
        </w:rPr>
      </w:pPr>
      <w:r>
        <w:rPr>
          <w:rFonts w:hint="eastAsia" w:eastAsia="方正小标宋简体"/>
          <w:color w:val="000000" w:themeColor="text1"/>
          <w:sz w:val="44"/>
          <w:szCs w:val="44"/>
          <w:lang w:eastAsia="zh-CN"/>
          <w14:textFill>
            <w14:solidFill>
              <w14:schemeClr w14:val="tx1"/>
            </w14:solidFill>
          </w14:textFill>
        </w:rPr>
        <w:t>罗定</w:t>
      </w:r>
      <w:r>
        <w:rPr>
          <w:rFonts w:eastAsia="方正小标宋简体"/>
          <w:sz w:val="44"/>
          <w:szCs w:val="44"/>
        </w:rPr>
        <w:t>市政府投资市属非经营性项目</w:t>
      </w:r>
    </w:p>
    <w:p>
      <w:pPr>
        <w:adjustRightInd w:val="0"/>
        <w:snapToGrid w:val="0"/>
        <w:spacing w:line="600" w:lineRule="exact"/>
        <w:jc w:val="center"/>
        <w:rPr>
          <w:rFonts w:eastAsia="方正小标宋简体"/>
          <w:sz w:val="44"/>
          <w:szCs w:val="44"/>
        </w:rPr>
      </w:pPr>
      <w:r>
        <w:rPr>
          <w:rFonts w:eastAsia="方正小标宋简体"/>
          <w:sz w:val="44"/>
          <w:szCs w:val="44"/>
        </w:rPr>
        <w:t>建设管理办法</w:t>
      </w:r>
    </w:p>
    <w:p>
      <w:pPr>
        <w:adjustRightInd w:val="0"/>
        <w:snapToGrid w:val="0"/>
        <w:spacing w:line="600" w:lineRule="exact"/>
        <w:jc w:val="center"/>
        <w:rPr>
          <w:rFonts w:hint="eastAsia" w:eastAsia="方正小标宋简体"/>
          <w:sz w:val="36"/>
          <w:szCs w:val="36"/>
          <w:lang w:eastAsia="zh-CN"/>
        </w:rPr>
      </w:pPr>
      <w:r>
        <w:rPr>
          <w:rFonts w:hint="eastAsia" w:eastAsia="方正小标宋简体"/>
          <w:sz w:val="36"/>
          <w:szCs w:val="36"/>
          <w:lang w:eastAsia="zh-CN"/>
        </w:rPr>
        <w:t>（</w:t>
      </w:r>
      <w:r>
        <w:rPr>
          <w:rFonts w:hint="eastAsia" w:eastAsia="方正小标宋简体"/>
          <w:sz w:val="36"/>
          <w:szCs w:val="36"/>
          <w:lang w:val="en-US" w:eastAsia="zh-CN"/>
        </w:rPr>
        <w:t>第二次</w:t>
      </w:r>
      <w:r>
        <w:rPr>
          <w:rFonts w:hint="eastAsia" w:eastAsia="方正小标宋简体"/>
          <w:sz w:val="36"/>
          <w:szCs w:val="36"/>
          <w:lang w:eastAsia="zh-CN"/>
        </w:rPr>
        <w:t>征求意见稿）</w:t>
      </w:r>
    </w:p>
    <w:p>
      <w:pPr>
        <w:adjustRightInd w:val="0"/>
        <w:snapToGrid w:val="0"/>
        <w:spacing w:line="600" w:lineRule="exact"/>
        <w:ind w:firstLine="622" w:firstLineChars="200"/>
        <w:jc w:val="center"/>
        <w:rPr>
          <w:rFonts w:hint="eastAsia" w:eastAsia="仿宋_GB2312"/>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第一章  总则</w:t>
      </w:r>
    </w:p>
    <w:p>
      <w:pPr>
        <w:adjustRightInd w:val="0"/>
        <w:snapToGrid w:val="0"/>
        <w:spacing w:line="600" w:lineRule="exact"/>
        <w:ind w:firstLine="622" w:firstLineChars="200"/>
        <w:jc w:val="center"/>
        <w:rPr>
          <w:rFonts w:eastAsia="仿宋_GB2312"/>
          <w:sz w:val="32"/>
          <w:szCs w:val="32"/>
        </w:rPr>
      </w:pPr>
    </w:p>
    <w:p>
      <w:pPr>
        <w:adjustRightInd w:val="0"/>
        <w:snapToGrid w:val="0"/>
        <w:spacing w:line="600" w:lineRule="exact"/>
        <w:ind w:firstLine="622" w:firstLineChars="200"/>
        <w:rPr>
          <w:rFonts w:eastAsia="仿宋_GB2312"/>
          <w:sz w:val="32"/>
          <w:szCs w:val="32"/>
        </w:rPr>
      </w:pPr>
      <w:r>
        <w:rPr>
          <w:rFonts w:eastAsia="黑体"/>
          <w:sz w:val="32"/>
          <w:szCs w:val="32"/>
        </w:rPr>
        <w:t xml:space="preserve">第一条  </w:t>
      </w:r>
      <w:r>
        <w:rPr>
          <w:rFonts w:eastAsia="仿宋_GB2312"/>
          <w:sz w:val="32"/>
          <w:szCs w:val="32"/>
        </w:rPr>
        <w:t>为规范市政</w:t>
      </w:r>
      <w:bookmarkStart w:id="0" w:name="_GoBack"/>
      <w:bookmarkEnd w:id="0"/>
      <w:r>
        <w:rPr>
          <w:rFonts w:eastAsia="仿宋_GB2312"/>
          <w:sz w:val="32"/>
          <w:szCs w:val="32"/>
        </w:rPr>
        <w:t>府投资市属非经营性项目建设管理，提高项目建设管理专业化水平和投资效益，根据《政府投资条例》</w:t>
      </w:r>
      <w:r>
        <w:rPr>
          <w:rFonts w:hint="eastAsia" w:eastAsia="仿宋_GB2312"/>
          <w:sz w:val="32"/>
          <w:szCs w:val="32"/>
        </w:rPr>
        <w:t>（</w:t>
      </w:r>
      <w:r>
        <w:rPr>
          <w:rFonts w:eastAsia="仿宋_GB2312"/>
          <w:sz w:val="32"/>
          <w:szCs w:val="32"/>
        </w:rPr>
        <w:t>国务院令第712号）《广东省政府投资省属非经营性项目建设管理办法》（粤府〔2022〕12号）《</w:t>
      </w:r>
      <w:r>
        <w:rPr>
          <w:rFonts w:hint="eastAsia" w:eastAsia="仿宋_GB2312"/>
          <w:sz w:val="32"/>
          <w:szCs w:val="32"/>
          <w:lang w:eastAsia="zh-CN"/>
        </w:rPr>
        <w:t>云浮市</w:t>
      </w:r>
      <w:r>
        <w:rPr>
          <w:rFonts w:eastAsia="仿宋_GB2312"/>
          <w:sz w:val="32"/>
          <w:szCs w:val="32"/>
        </w:rPr>
        <w:t>政府投资</w:t>
      </w:r>
      <w:r>
        <w:rPr>
          <w:rFonts w:hint="eastAsia" w:eastAsia="仿宋_GB2312"/>
          <w:color w:val="auto"/>
          <w:sz w:val="32"/>
          <w:szCs w:val="32"/>
          <w:lang w:val="en-US" w:eastAsia="zh-CN"/>
        </w:rPr>
        <w:t>市</w:t>
      </w:r>
      <w:r>
        <w:rPr>
          <w:rFonts w:eastAsia="仿宋_GB2312"/>
          <w:sz w:val="32"/>
          <w:szCs w:val="32"/>
        </w:rPr>
        <w:t>属非经营性项目建设管理办法》（</w:t>
      </w:r>
      <w:r>
        <w:rPr>
          <w:rFonts w:hint="eastAsia" w:eastAsia="仿宋_GB2312"/>
          <w:sz w:val="32"/>
          <w:szCs w:val="32"/>
          <w:lang w:eastAsia="zh-CN"/>
        </w:rPr>
        <w:t>云</w:t>
      </w:r>
      <w:r>
        <w:rPr>
          <w:rFonts w:eastAsia="仿宋_GB2312"/>
          <w:sz w:val="32"/>
          <w:szCs w:val="32"/>
        </w:rPr>
        <w:t>府〔202</w:t>
      </w:r>
      <w:r>
        <w:rPr>
          <w:rFonts w:hint="eastAsia" w:eastAsia="仿宋_GB2312"/>
          <w:sz w:val="32"/>
          <w:szCs w:val="32"/>
          <w:lang w:val="en-US" w:eastAsia="zh-CN"/>
        </w:rPr>
        <w:t>3</w:t>
      </w:r>
      <w:r>
        <w:rPr>
          <w:rFonts w:eastAsia="仿宋_GB2312"/>
          <w:sz w:val="32"/>
          <w:szCs w:val="32"/>
        </w:rPr>
        <w:t>〕1</w:t>
      </w:r>
      <w:r>
        <w:rPr>
          <w:rFonts w:hint="eastAsia" w:eastAsia="仿宋_GB2312"/>
          <w:sz w:val="32"/>
          <w:szCs w:val="32"/>
          <w:lang w:val="en-US" w:eastAsia="zh-CN"/>
        </w:rPr>
        <w:t>0</w:t>
      </w:r>
      <w:r>
        <w:rPr>
          <w:rFonts w:eastAsia="仿宋_GB2312"/>
          <w:sz w:val="32"/>
          <w:szCs w:val="32"/>
        </w:rPr>
        <w:t>号）等相关法律法规和规章制度，结合我市实际，制定本办法。</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第二条  </w:t>
      </w:r>
      <w:r>
        <w:rPr>
          <w:rFonts w:eastAsia="仿宋_GB2312"/>
          <w:sz w:val="32"/>
          <w:szCs w:val="32"/>
        </w:rPr>
        <w:t>市政府以预算安排资金为主要来源，投资新建、改建、扩建、维修改造的市属非经营性项目（以下统称项目），适用本办法，项目主要包括:</w:t>
      </w:r>
    </w:p>
    <w:p>
      <w:pPr>
        <w:adjustRightInd w:val="0"/>
        <w:snapToGrid w:val="0"/>
        <w:spacing w:line="600" w:lineRule="exact"/>
        <w:ind w:firstLine="622" w:firstLineChars="200"/>
        <w:rPr>
          <w:rFonts w:eastAsia="仿宋_GB2312"/>
          <w:sz w:val="32"/>
          <w:szCs w:val="32"/>
        </w:rPr>
      </w:pPr>
      <w:r>
        <w:rPr>
          <w:rFonts w:eastAsia="仿宋_GB2312"/>
          <w:sz w:val="32"/>
          <w:szCs w:val="32"/>
        </w:rPr>
        <w:t>（一）党的机关、人大机关、行政机关、政协机关、监察机关、审判机关、检察机关，各民主党派和工商联，参照公务员法管理的人民团体、事业单位的办公用房和业务用房及其相关设施项目；</w:t>
      </w:r>
    </w:p>
    <w:p>
      <w:pPr>
        <w:adjustRightInd w:val="0"/>
        <w:snapToGrid w:val="0"/>
        <w:spacing w:line="600" w:lineRule="exact"/>
        <w:ind w:firstLine="622" w:firstLineChars="200"/>
        <w:rPr>
          <w:rFonts w:eastAsia="仿宋_GB2312"/>
          <w:sz w:val="32"/>
          <w:szCs w:val="32"/>
        </w:rPr>
      </w:pPr>
      <w:r>
        <w:rPr>
          <w:rFonts w:eastAsia="仿宋_GB2312"/>
          <w:sz w:val="32"/>
          <w:szCs w:val="32"/>
        </w:rPr>
        <w:t>（二）科技、教育、卫生、文化、体育、民政等社会事业项目和农林水利、市政、交通、能源、生态环境保护等公共领域的项目，以及市政府确定的其他公共领域的项目。</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第三条  </w:t>
      </w:r>
      <w:r>
        <w:rPr>
          <w:rFonts w:eastAsia="仿宋_GB2312"/>
          <w:sz w:val="32"/>
          <w:szCs w:val="32"/>
        </w:rPr>
        <w:t>按建设主体划分，项目建设管理模式分为集中建设管理和自行组织建设。</w:t>
      </w:r>
    </w:p>
    <w:p>
      <w:pPr>
        <w:adjustRightInd w:val="0"/>
        <w:snapToGrid w:val="0"/>
        <w:spacing w:line="600" w:lineRule="exact"/>
        <w:ind w:firstLine="622" w:firstLineChars="200"/>
        <w:rPr>
          <w:rFonts w:hint="eastAsia" w:eastAsia="仿宋_GB2312"/>
          <w:sz w:val="32"/>
          <w:szCs w:val="32"/>
          <w:lang w:val="en-US" w:eastAsia="zh-CN"/>
        </w:rPr>
      </w:pPr>
      <w:r>
        <w:rPr>
          <w:rFonts w:eastAsia="仿宋_GB2312"/>
          <w:sz w:val="32"/>
          <w:szCs w:val="32"/>
        </w:rPr>
        <w:t>对项目使用单位缺乏项目建设管理能力的项目，原则上采用集中建设管理模式；对项目使用单位具备一定的项目建设管理能力或情况特殊的项目，可以采用自行组织建设模式。</w:t>
      </w:r>
    </w:p>
    <w:p>
      <w:pPr>
        <w:adjustRightInd w:val="0"/>
        <w:snapToGrid w:val="0"/>
        <w:spacing w:line="600" w:lineRule="exact"/>
        <w:ind w:firstLine="622" w:firstLineChars="200"/>
        <w:rPr>
          <w:rFonts w:eastAsia="仿宋_GB2312"/>
          <w:sz w:val="32"/>
          <w:szCs w:val="32"/>
          <w:highlight w:val="none"/>
        </w:rPr>
      </w:pPr>
      <w:r>
        <w:rPr>
          <w:rFonts w:eastAsia="仿宋_GB2312"/>
          <w:sz w:val="32"/>
          <w:szCs w:val="32"/>
          <w:highlight w:val="none"/>
        </w:rPr>
        <w:t>基于业务需要，前款规定两种建设管理模式的项目，经市政府批准</w:t>
      </w:r>
      <w:r>
        <w:rPr>
          <w:rFonts w:hint="eastAsia" w:eastAsia="仿宋_GB2312"/>
          <w:sz w:val="32"/>
          <w:szCs w:val="32"/>
          <w:highlight w:val="none"/>
          <w:lang w:val="en-US" w:eastAsia="zh-CN"/>
        </w:rPr>
        <w:t>由</w:t>
      </w:r>
      <w:r>
        <w:rPr>
          <w:rFonts w:eastAsia="仿宋_GB2312"/>
          <w:sz w:val="32"/>
          <w:szCs w:val="32"/>
          <w:highlight w:val="none"/>
        </w:rPr>
        <w:t>市政府投资建设项目代建管理机构</w:t>
      </w:r>
      <w:r>
        <w:rPr>
          <w:rFonts w:hint="eastAsia" w:eastAsia="仿宋_GB2312"/>
          <w:sz w:val="32"/>
          <w:szCs w:val="32"/>
          <w:highlight w:val="none"/>
          <w:lang w:val="en-US" w:eastAsia="zh-CN"/>
        </w:rPr>
        <w:t>下属监管企业为市场化代建单位，</w:t>
      </w:r>
      <w:r>
        <w:rPr>
          <w:rFonts w:eastAsia="仿宋_GB2312"/>
          <w:sz w:val="32"/>
          <w:szCs w:val="32"/>
          <w:highlight w:val="none"/>
        </w:rPr>
        <w:t>也可以通过招标等符合《中华人民共和国政府采购法》规定的方式选择市场化代建单位，承担项目建设的管理工作。</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第四条  </w:t>
      </w:r>
      <w:r>
        <w:rPr>
          <w:rFonts w:eastAsia="仿宋_GB2312"/>
          <w:sz w:val="32"/>
          <w:szCs w:val="32"/>
        </w:rPr>
        <w:t>本办法所称项目建设单位是指按照基本建设管理程序，承担项目建设管理主体责任，执行基本建设计划，组织、督促项目建设工作，支配、使用项目建设投资的单位。</w:t>
      </w:r>
    </w:p>
    <w:p>
      <w:pPr>
        <w:adjustRightInd w:val="0"/>
        <w:snapToGrid w:val="0"/>
        <w:spacing w:line="600" w:lineRule="exact"/>
        <w:ind w:firstLine="622" w:firstLineChars="200"/>
        <w:rPr>
          <w:rFonts w:hint="eastAsia" w:eastAsia="仿宋_GB2312"/>
          <w:sz w:val="32"/>
          <w:szCs w:val="32"/>
          <w:lang w:eastAsia="zh-CN"/>
        </w:rPr>
      </w:pPr>
      <w:r>
        <w:rPr>
          <w:rFonts w:eastAsia="仿宋_GB2312"/>
          <w:sz w:val="32"/>
          <w:szCs w:val="32"/>
        </w:rPr>
        <w:t>市政府明确的市政府投资建设项目代建管理机构（以下简称市代建管理机构），代表市政府或项目使用单位，作为采用集中建设管理模式的项目建设单位。采用自行组织建设模式的，项目使用单位为项目建设单位</w:t>
      </w:r>
      <w:r>
        <w:rPr>
          <w:rFonts w:hint="eastAsia" w:eastAsia="仿宋_GB2312"/>
          <w:sz w:val="32"/>
          <w:szCs w:val="32"/>
          <w:lang w:eastAsia="zh-CN"/>
        </w:rPr>
        <w:t>。</w:t>
      </w:r>
    </w:p>
    <w:p>
      <w:pPr>
        <w:adjustRightInd w:val="0"/>
        <w:snapToGrid w:val="0"/>
        <w:spacing w:line="600" w:lineRule="exact"/>
        <w:ind w:firstLine="622" w:firstLineChars="200"/>
        <w:rPr>
          <w:rFonts w:eastAsia="仿宋_GB2312"/>
          <w:sz w:val="32"/>
          <w:szCs w:val="32"/>
        </w:rPr>
      </w:pPr>
      <w:r>
        <w:rPr>
          <w:rFonts w:eastAsia="仿宋_GB2312"/>
          <w:sz w:val="32"/>
          <w:szCs w:val="32"/>
        </w:rPr>
        <w:t>本办法所称参建单位是指勘察、设计、施工、监理、设备材料供应、工程咨询、检验检测等参与项目建设并承担特定法律责任的单位。</w:t>
      </w:r>
    </w:p>
    <w:p>
      <w:pPr>
        <w:adjustRightInd w:val="0"/>
        <w:snapToGrid w:val="0"/>
        <w:spacing w:line="600" w:lineRule="exact"/>
        <w:ind w:firstLine="622" w:firstLineChars="200"/>
        <w:rPr>
          <w:rFonts w:eastAsia="仿宋_GB2312"/>
          <w:sz w:val="32"/>
          <w:szCs w:val="32"/>
        </w:rPr>
      </w:pPr>
      <w:r>
        <w:rPr>
          <w:rFonts w:eastAsia="仿宋_GB2312"/>
          <w:sz w:val="32"/>
          <w:szCs w:val="32"/>
        </w:rPr>
        <w:t>项目建设管理应当遵循科学决策、高效专业、权责明晰、公开透明的原则，充分发挥各方优势和积极性。</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第五条  </w:t>
      </w:r>
      <w:r>
        <w:rPr>
          <w:rFonts w:eastAsia="仿宋_GB2312"/>
          <w:sz w:val="32"/>
          <w:szCs w:val="32"/>
        </w:rPr>
        <w:t>对采用集中建设管理模式的项目，由市代建管理机构履行项目建设管理职责，负责组织项目勘察、设计、施工、监理及与工程建设相关的重要设备、材料采购等方面的招标工作，对项目建设过程进行管理，严格控制项目投资、质量、安全和工期进度，项目竣工验收合格后移交项目使用单位。</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第六条  </w:t>
      </w:r>
      <w:r>
        <w:rPr>
          <w:rFonts w:eastAsia="仿宋_GB2312"/>
          <w:sz w:val="32"/>
          <w:szCs w:val="32"/>
        </w:rPr>
        <w:t>对项目使用单位具备一定的项目建设管理能力，或者有下列情形之一的项目，可以由项目使用单位根据国家、省以及市有关法律法规及规章制度自行组织建设：</w:t>
      </w:r>
    </w:p>
    <w:p>
      <w:pPr>
        <w:adjustRightInd w:val="0"/>
        <w:snapToGrid w:val="0"/>
        <w:spacing w:line="600" w:lineRule="exact"/>
        <w:ind w:firstLine="622" w:firstLineChars="200"/>
        <w:rPr>
          <w:rFonts w:eastAsia="仿宋_GB2312"/>
          <w:sz w:val="32"/>
          <w:szCs w:val="32"/>
        </w:rPr>
      </w:pPr>
      <w:r>
        <w:rPr>
          <w:rFonts w:eastAsia="仿宋_GB2312"/>
          <w:sz w:val="32"/>
          <w:szCs w:val="32"/>
        </w:rPr>
        <w:t>（一）总投资不足1000万元或财政性资金占总投资比例低于50%的项目；</w:t>
      </w:r>
    </w:p>
    <w:p>
      <w:pPr>
        <w:adjustRightInd w:val="0"/>
        <w:snapToGrid w:val="0"/>
        <w:spacing w:line="600" w:lineRule="exact"/>
        <w:ind w:firstLine="622" w:firstLineChars="200"/>
        <w:rPr>
          <w:rFonts w:eastAsia="仿宋_GB2312"/>
          <w:sz w:val="32"/>
          <w:szCs w:val="32"/>
        </w:rPr>
      </w:pPr>
      <w:r>
        <w:rPr>
          <w:rFonts w:eastAsia="仿宋_GB2312"/>
          <w:sz w:val="32"/>
          <w:szCs w:val="32"/>
        </w:rPr>
        <w:t>（二）农林水利、生态环境保护、</w:t>
      </w:r>
      <w:r>
        <w:rPr>
          <w:rFonts w:hint="eastAsia" w:eastAsia="仿宋_GB2312"/>
          <w:sz w:val="32"/>
          <w:szCs w:val="32"/>
        </w:rPr>
        <w:t>交通、</w:t>
      </w:r>
      <w:r>
        <w:rPr>
          <w:rFonts w:eastAsia="仿宋_GB2312"/>
          <w:sz w:val="32"/>
          <w:szCs w:val="32"/>
        </w:rPr>
        <w:t>信息化、房屋建筑工程维修改造、安防及安全警戒设施等</w:t>
      </w:r>
      <w:r>
        <w:rPr>
          <w:rFonts w:hint="eastAsia" w:eastAsia="仿宋_GB2312" w:cs="仿宋_GB2312"/>
          <w:sz w:val="32"/>
          <w:szCs w:val="32"/>
        </w:rPr>
        <w:t>业务性及专业性较强</w:t>
      </w:r>
      <w:r>
        <w:rPr>
          <w:rFonts w:eastAsia="仿宋_GB2312"/>
          <w:sz w:val="32"/>
          <w:szCs w:val="32"/>
        </w:rPr>
        <w:t>领域项目；</w:t>
      </w:r>
    </w:p>
    <w:p>
      <w:pPr>
        <w:adjustRightInd w:val="0"/>
        <w:snapToGrid w:val="0"/>
        <w:spacing w:line="600" w:lineRule="exact"/>
        <w:ind w:firstLine="622" w:firstLineChars="200"/>
        <w:rPr>
          <w:rFonts w:eastAsia="仿宋_GB2312"/>
          <w:sz w:val="32"/>
          <w:szCs w:val="32"/>
        </w:rPr>
      </w:pPr>
      <w:r>
        <w:rPr>
          <w:rFonts w:eastAsia="仿宋_GB2312"/>
          <w:sz w:val="32"/>
          <w:szCs w:val="32"/>
        </w:rPr>
        <w:t>（三）医疗设备、实验室装备、实训设备、应急救援设备等专业性较强的设备购置；</w:t>
      </w:r>
    </w:p>
    <w:p>
      <w:pPr>
        <w:adjustRightInd w:val="0"/>
        <w:snapToGrid w:val="0"/>
        <w:spacing w:line="600" w:lineRule="exact"/>
        <w:ind w:firstLine="622" w:firstLineChars="200"/>
        <w:rPr>
          <w:rFonts w:eastAsia="仿宋_GB2312"/>
          <w:sz w:val="32"/>
          <w:szCs w:val="32"/>
        </w:rPr>
      </w:pPr>
      <w:r>
        <w:rPr>
          <w:rFonts w:eastAsia="仿宋_GB2312"/>
          <w:sz w:val="32"/>
          <w:szCs w:val="32"/>
        </w:rPr>
        <w:t>（四）涉及国家安全和国家秘密的项目；</w:t>
      </w:r>
    </w:p>
    <w:p>
      <w:pPr>
        <w:adjustRightInd w:val="0"/>
        <w:snapToGrid w:val="0"/>
        <w:spacing w:line="600" w:lineRule="exact"/>
        <w:ind w:firstLine="622" w:firstLineChars="200"/>
        <w:rPr>
          <w:rFonts w:eastAsia="仿宋_GB2312"/>
          <w:sz w:val="32"/>
          <w:szCs w:val="32"/>
        </w:rPr>
      </w:pPr>
      <w:r>
        <w:rPr>
          <w:rFonts w:eastAsia="仿宋_GB2312"/>
          <w:sz w:val="32"/>
          <w:szCs w:val="32"/>
        </w:rPr>
        <w:t>（五）市政府明确采用自行组织建设模式的其他项目。</w:t>
      </w:r>
    </w:p>
    <w:p>
      <w:pPr>
        <w:adjustRightInd w:val="0"/>
        <w:snapToGrid w:val="0"/>
        <w:spacing w:line="600" w:lineRule="exact"/>
        <w:ind w:firstLine="622" w:firstLineChars="200"/>
        <w:rPr>
          <w:rFonts w:eastAsia="仿宋_GB2312"/>
          <w:sz w:val="32"/>
          <w:szCs w:val="32"/>
        </w:rPr>
      </w:pPr>
      <w:r>
        <w:rPr>
          <w:rFonts w:eastAsia="仿宋_GB2312"/>
          <w:sz w:val="32"/>
          <w:szCs w:val="32"/>
        </w:rPr>
        <w:t>前款所称项目使用单位具备一定的项目建设管理能力，是指项目使用单位内设有专门基建管理部门，配备</w:t>
      </w:r>
      <w:r>
        <w:rPr>
          <w:rFonts w:hint="eastAsia" w:eastAsia="仿宋_GB2312"/>
          <w:sz w:val="32"/>
          <w:szCs w:val="32"/>
        </w:rPr>
        <w:t>5</w:t>
      </w:r>
      <w:r>
        <w:rPr>
          <w:rFonts w:eastAsia="仿宋_GB2312"/>
          <w:sz w:val="32"/>
          <w:szCs w:val="32"/>
        </w:rPr>
        <w:t>名或以上与项目建设要求相适应的技术、经济等方面的专业人员。</w:t>
      </w:r>
    </w:p>
    <w:p>
      <w:pPr>
        <w:adjustRightInd w:val="0"/>
        <w:snapToGrid w:val="0"/>
        <w:spacing w:line="600" w:lineRule="exact"/>
        <w:ind w:firstLine="622" w:firstLineChars="200"/>
        <w:rPr>
          <w:rFonts w:eastAsia="仿宋_GB2312"/>
          <w:sz w:val="32"/>
          <w:szCs w:val="32"/>
        </w:rPr>
      </w:pPr>
      <w:r>
        <w:rPr>
          <w:rFonts w:eastAsia="仿宋_GB2312"/>
          <w:sz w:val="32"/>
          <w:szCs w:val="32"/>
        </w:rPr>
        <w:t>对符合自行组织建设范围的项目，在保持项目完整性、连续性的前提下，项目使用单位可以将项目全部或部分建设内容按程序交由市代建管理机构组织建设实施。</w:t>
      </w:r>
    </w:p>
    <w:p>
      <w:pPr>
        <w:adjustRightInd w:val="0"/>
        <w:snapToGrid w:val="0"/>
        <w:spacing w:line="600" w:lineRule="exact"/>
        <w:ind w:firstLine="622" w:firstLineChars="200"/>
        <w:rPr>
          <w:rFonts w:eastAsia="仿宋_GB2312"/>
          <w:sz w:val="32"/>
          <w:szCs w:val="32"/>
        </w:rPr>
      </w:pPr>
      <w:r>
        <w:rPr>
          <w:rFonts w:eastAsia="黑体"/>
          <w:sz w:val="32"/>
          <w:szCs w:val="32"/>
        </w:rPr>
        <w:t>第七条</w:t>
      </w:r>
      <w:r>
        <w:rPr>
          <w:rFonts w:eastAsia="仿宋_GB2312"/>
          <w:sz w:val="32"/>
          <w:szCs w:val="32"/>
        </w:rPr>
        <w:t xml:space="preserve">  本办法第三条所称市场化代建单位，是指按照约定代表项目建设单位履行建设管理职责的市场化、专业化机构。市场化代建单位由项目建设单位依法通过招标等符合《中华人民共和国政府采购法》规定的方式选择产生，对项目建设单位负责。市场化代建单位应当具备以下基本条件:</w:t>
      </w:r>
    </w:p>
    <w:p>
      <w:pPr>
        <w:adjustRightInd w:val="0"/>
        <w:snapToGrid w:val="0"/>
        <w:spacing w:line="600" w:lineRule="exact"/>
        <w:ind w:firstLine="622" w:firstLineChars="200"/>
        <w:rPr>
          <w:rFonts w:eastAsia="仿宋_GB2312"/>
          <w:sz w:val="32"/>
          <w:szCs w:val="32"/>
        </w:rPr>
      </w:pPr>
      <w:r>
        <w:rPr>
          <w:rFonts w:eastAsia="仿宋_GB2312"/>
          <w:sz w:val="32"/>
          <w:szCs w:val="32"/>
        </w:rPr>
        <w:t>（一）具有法人资格，具备独立履约能力；</w:t>
      </w:r>
    </w:p>
    <w:p>
      <w:pPr>
        <w:adjustRightInd w:val="0"/>
        <w:snapToGrid w:val="0"/>
        <w:spacing w:line="600" w:lineRule="exact"/>
        <w:ind w:firstLine="622" w:firstLineChars="200"/>
        <w:rPr>
          <w:rFonts w:eastAsia="仿宋_GB2312"/>
          <w:sz w:val="32"/>
          <w:szCs w:val="32"/>
        </w:rPr>
      </w:pPr>
      <w:r>
        <w:rPr>
          <w:rFonts w:eastAsia="仿宋_GB2312"/>
          <w:sz w:val="32"/>
          <w:szCs w:val="32"/>
        </w:rPr>
        <w:t>（二）具有相应的建设管理组织机构和项目管理能力；</w:t>
      </w:r>
    </w:p>
    <w:p>
      <w:pPr>
        <w:adjustRightInd w:val="0"/>
        <w:snapToGrid w:val="0"/>
        <w:spacing w:line="600" w:lineRule="exact"/>
        <w:ind w:firstLine="622" w:firstLineChars="200"/>
        <w:rPr>
          <w:rFonts w:eastAsia="仿宋_GB2312"/>
          <w:sz w:val="32"/>
          <w:szCs w:val="32"/>
        </w:rPr>
      </w:pPr>
      <w:r>
        <w:rPr>
          <w:rFonts w:eastAsia="仿宋_GB2312"/>
          <w:sz w:val="32"/>
          <w:szCs w:val="32"/>
        </w:rPr>
        <w:t>（三）具有与项目建设要求相适应的技术、造价、财务和管理等方面的专业人员，并具有从事同类项目建设管理的经验；</w:t>
      </w:r>
    </w:p>
    <w:p>
      <w:pPr>
        <w:adjustRightInd w:val="0"/>
        <w:snapToGrid w:val="0"/>
        <w:spacing w:line="600" w:lineRule="exact"/>
        <w:ind w:firstLine="622" w:firstLineChars="200"/>
        <w:rPr>
          <w:rFonts w:eastAsia="仿宋_GB2312"/>
          <w:sz w:val="32"/>
          <w:szCs w:val="32"/>
        </w:rPr>
      </w:pPr>
      <w:r>
        <w:rPr>
          <w:rFonts w:eastAsia="仿宋_GB2312"/>
          <w:sz w:val="32"/>
          <w:szCs w:val="32"/>
        </w:rPr>
        <w:t>（四）具有良好的资信水平，近</w:t>
      </w:r>
      <w:r>
        <w:rPr>
          <w:rFonts w:hint="eastAsia" w:eastAsia="仿宋_GB2312"/>
          <w:sz w:val="32"/>
          <w:szCs w:val="32"/>
        </w:rPr>
        <w:t>3</w:t>
      </w:r>
      <w:r>
        <w:rPr>
          <w:rFonts w:eastAsia="仿宋_GB2312"/>
          <w:sz w:val="32"/>
          <w:szCs w:val="32"/>
        </w:rPr>
        <w:t>年内无不良信用记录；</w:t>
      </w:r>
    </w:p>
    <w:p>
      <w:pPr>
        <w:adjustRightInd w:val="0"/>
        <w:snapToGrid w:val="0"/>
        <w:spacing w:line="600" w:lineRule="exact"/>
        <w:ind w:firstLine="622" w:firstLineChars="200"/>
        <w:rPr>
          <w:rFonts w:eastAsia="仿宋_GB2312"/>
          <w:sz w:val="32"/>
          <w:szCs w:val="32"/>
        </w:rPr>
      </w:pPr>
      <w:r>
        <w:rPr>
          <w:rFonts w:eastAsia="仿宋_GB2312"/>
          <w:sz w:val="32"/>
          <w:szCs w:val="32"/>
        </w:rPr>
        <w:t>（五）法律法规和规章制度规定的其他条件。</w:t>
      </w:r>
    </w:p>
    <w:p>
      <w:pPr>
        <w:adjustRightInd w:val="0"/>
        <w:snapToGrid w:val="0"/>
        <w:spacing w:line="600" w:lineRule="exact"/>
        <w:ind w:firstLine="622" w:firstLineChars="200"/>
        <w:rPr>
          <w:rFonts w:eastAsia="仿宋_GB2312"/>
          <w:sz w:val="32"/>
          <w:szCs w:val="32"/>
        </w:rPr>
      </w:pPr>
      <w:r>
        <w:rPr>
          <w:rFonts w:eastAsia="黑体"/>
          <w:sz w:val="32"/>
          <w:szCs w:val="32"/>
        </w:rPr>
        <w:t>第八条</w:t>
      </w:r>
      <w:r>
        <w:rPr>
          <w:rFonts w:eastAsia="仿宋_GB2312"/>
          <w:sz w:val="32"/>
          <w:szCs w:val="32"/>
        </w:rPr>
        <w:t xml:space="preserve">  市发展改革部门依照本办法和市政府有关规定，履行项目投资综合管理职责。</w:t>
      </w:r>
    </w:p>
    <w:p>
      <w:pPr>
        <w:adjustRightInd w:val="0"/>
        <w:snapToGrid w:val="0"/>
        <w:spacing w:line="600" w:lineRule="exact"/>
        <w:ind w:firstLine="622" w:firstLineChars="200"/>
        <w:rPr>
          <w:rFonts w:eastAsia="仿宋_GB2312"/>
          <w:sz w:val="32"/>
          <w:szCs w:val="32"/>
        </w:rPr>
      </w:pPr>
      <w:r>
        <w:rPr>
          <w:rFonts w:eastAsia="仿宋_GB2312"/>
          <w:sz w:val="32"/>
          <w:szCs w:val="32"/>
        </w:rPr>
        <w:t>市财政、自然资源、住房城乡建设、审计等有关部门，按照市政府和本办法规定的职责分工，履行相应的项目管理监督职责。</w:t>
      </w:r>
    </w:p>
    <w:p>
      <w:pPr>
        <w:adjustRightInd w:val="0"/>
        <w:snapToGrid w:val="0"/>
        <w:spacing w:line="600" w:lineRule="exact"/>
        <w:ind w:firstLine="622" w:firstLineChars="200"/>
        <w:rPr>
          <w:rFonts w:eastAsia="仿宋_GB2312"/>
          <w:sz w:val="32"/>
          <w:szCs w:val="32"/>
        </w:rPr>
      </w:pPr>
      <w:r>
        <w:rPr>
          <w:rFonts w:eastAsia="仿宋_GB2312"/>
          <w:sz w:val="32"/>
          <w:szCs w:val="32"/>
        </w:rPr>
        <w:t>项目建设单位、项目使用单位、市场化代建单位、参建单位按照本办法和有关法律法规、规章制度，在项目实施过程中履行相应工作职责。</w:t>
      </w:r>
    </w:p>
    <w:p>
      <w:pPr>
        <w:adjustRightInd w:val="0"/>
        <w:snapToGrid w:val="0"/>
        <w:spacing w:line="600" w:lineRule="exact"/>
        <w:ind w:firstLine="622" w:firstLineChars="200"/>
        <w:rPr>
          <w:rFonts w:eastAsia="仿宋_GB2312"/>
          <w:sz w:val="32"/>
          <w:szCs w:val="32"/>
        </w:rPr>
      </w:pPr>
      <w:r>
        <w:rPr>
          <w:rFonts w:eastAsia="仿宋_GB2312"/>
          <w:sz w:val="32"/>
          <w:szCs w:val="32"/>
        </w:rPr>
        <w:t>具体职责分工详见本办法附件。</w:t>
      </w:r>
    </w:p>
    <w:p>
      <w:pPr>
        <w:adjustRightInd w:val="0"/>
        <w:snapToGrid w:val="0"/>
        <w:spacing w:line="600" w:lineRule="exact"/>
        <w:ind w:firstLine="622" w:firstLineChars="200"/>
        <w:rPr>
          <w:rFonts w:eastAsia="仿宋_GB2312"/>
          <w:sz w:val="32"/>
          <w:szCs w:val="32"/>
        </w:rPr>
      </w:pPr>
      <w:r>
        <w:rPr>
          <w:rFonts w:eastAsia="黑体"/>
          <w:sz w:val="32"/>
          <w:szCs w:val="32"/>
        </w:rPr>
        <w:t>第九条</w:t>
      </w:r>
      <w:r>
        <w:rPr>
          <w:rFonts w:eastAsia="仿宋_GB2312"/>
          <w:sz w:val="32"/>
          <w:szCs w:val="32"/>
        </w:rPr>
        <w:t xml:space="preserve">  建立项目分级协调工作机制，统筹推进项目建设。项目建设单位应当压实主体责任，主动协调解决项目推进中的重点难点问题</w:t>
      </w:r>
      <w:r>
        <w:rPr>
          <w:rFonts w:hint="eastAsia" w:eastAsia="仿宋_GB2312"/>
          <w:sz w:val="32"/>
          <w:szCs w:val="32"/>
        </w:rPr>
        <w:t>；</w:t>
      </w:r>
      <w:r>
        <w:rPr>
          <w:rFonts w:eastAsia="仿宋_GB2312"/>
          <w:sz w:val="32"/>
          <w:szCs w:val="32"/>
        </w:rPr>
        <w:t>市代建管理机构、项目使用单位应当全程参与项目前期工作，组建项目建设工作领导小组，协同推进项目全过程建设管理。项目行业主管部门应当履行指导、协调和监督职责，对项目建设单位难以协调解决的事项，项目行业主管部门应当牵头召集相关部门和项目所在地政府协调。对行业主管部门难以协调解决的复杂事项，项目行业主管部门或市代建管理机构应当主动提请市政府协调。</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第十条  </w:t>
      </w:r>
      <w:r>
        <w:rPr>
          <w:rFonts w:eastAsia="仿宋_GB2312"/>
          <w:sz w:val="32"/>
          <w:szCs w:val="32"/>
        </w:rPr>
        <w:t>市发展改革部门和有关行业主管部门应当建立完善项目审查机制，明确审查主体和程序，充分发挥行业管理部门、市代建</w:t>
      </w:r>
      <w:r>
        <w:rPr>
          <w:rFonts w:hint="eastAsia" w:eastAsia="仿宋_GB2312"/>
          <w:sz w:val="32"/>
          <w:szCs w:val="32"/>
        </w:rPr>
        <w:t>管理机构</w:t>
      </w:r>
      <w:r>
        <w:rPr>
          <w:rFonts w:eastAsia="仿宋_GB2312"/>
          <w:sz w:val="32"/>
          <w:szCs w:val="32"/>
        </w:rPr>
        <w:t>的技术力量和优势，加强技术审查，从严审核把关，提高项目前期工作质量。</w:t>
      </w:r>
    </w:p>
    <w:p>
      <w:pPr>
        <w:adjustRightInd w:val="0"/>
        <w:snapToGrid w:val="0"/>
        <w:spacing w:line="600" w:lineRule="exact"/>
        <w:ind w:firstLine="622" w:firstLineChars="200"/>
        <w:rPr>
          <w:rFonts w:eastAsia="仿宋_GB2312"/>
          <w:sz w:val="32"/>
          <w:szCs w:val="32"/>
        </w:rPr>
      </w:pPr>
      <w:r>
        <w:rPr>
          <w:rFonts w:eastAsia="黑体"/>
          <w:sz w:val="32"/>
          <w:szCs w:val="32"/>
        </w:rPr>
        <w:t>第十一条</w:t>
      </w:r>
      <w:r>
        <w:rPr>
          <w:rFonts w:eastAsia="仿宋_GB2312"/>
          <w:sz w:val="32"/>
          <w:szCs w:val="32"/>
        </w:rPr>
        <w:t xml:space="preserve">  项目建设单位应当优化项目建设组织模式，带头推行工程总承包、全过程工程咨询，对投资规模较大、技术方案复杂、功能综合的项目，应当优先采用工程总承包和工程全过程咨询。提倡采用建筑信息模型（BIM）、装配式建筑、绿色建筑等新技术、新工艺，争创国家、省及市级优质工程。</w:t>
      </w:r>
    </w:p>
    <w:p>
      <w:pPr>
        <w:adjustRightInd w:val="0"/>
        <w:snapToGrid w:val="0"/>
        <w:spacing w:line="600" w:lineRule="exact"/>
        <w:ind w:firstLine="622" w:firstLineChars="200"/>
        <w:rPr>
          <w:rFonts w:eastAsia="方正小标宋简体"/>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第二章  项目投资决策</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ind w:firstLine="622" w:firstLineChars="200"/>
        <w:rPr>
          <w:rFonts w:eastAsia="仿宋_GB2312"/>
          <w:sz w:val="32"/>
          <w:szCs w:val="32"/>
        </w:rPr>
      </w:pPr>
      <w:r>
        <w:rPr>
          <w:rFonts w:eastAsia="黑体"/>
          <w:sz w:val="32"/>
          <w:szCs w:val="32"/>
        </w:rPr>
        <w:t>第十二条</w:t>
      </w:r>
      <w:r>
        <w:rPr>
          <w:rFonts w:eastAsia="仿宋_GB2312"/>
          <w:sz w:val="32"/>
          <w:szCs w:val="32"/>
        </w:rPr>
        <w:t xml:space="preserve">  项目原则上应当履行项目建议书、可行性研究报告、初步设计、施工图设计等审批程序，按照管理权限和有关规定程序报批，相关文件应当达到规定的深度要求。国家、省和市有关文件规定可以简化审批程序的，按有关规定执行。</w:t>
      </w:r>
    </w:p>
    <w:p>
      <w:pPr>
        <w:adjustRightInd w:val="0"/>
        <w:snapToGrid w:val="0"/>
        <w:spacing w:line="600" w:lineRule="exact"/>
        <w:ind w:firstLine="622" w:firstLineChars="200"/>
        <w:rPr>
          <w:rFonts w:eastAsia="仿宋_GB2312"/>
          <w:sz w:val="32"/>
          <w:szCs w:val="32"/>
        </w:rPr>
      </w:pPr>
      <w:r>
        <w:rPr>
          <w:rFonts w:eastAsia="黑体"/>
          <w:sz w:val="32"/>
          <w:szCs w:val="32"/>
        </w:rPr>
        <w:t>第十三条</w:t>
      </w:r>
      <w:r>
        <w:rPr>
          <w:rFonts w:eastAsia="黑体"/>
          <w:sz w:val="32"/>
          <w:szCs w:val="32"/>
          <w:highlight w:val="none"/>
        </w:rPr>
        <w:t xml:space="preserve">  </w:t>
      </w:r>
      <w:r>
        <w:rPr>
          <w:rFonts w:eastAsia="仿宋_GB2312"/>
          <w:sz w:val="32"/>
          <w:szCs w:val="32"/>
          <w:highlight w:val="none"/>
        </w:rPr>
        <w:t>拟采用集中建设管理模式的项目</w:t>
      </w:r>
      <w:r>
        <w:rPr>
          <w:rFonts w:hint="eastAsia" w:eastAsia="黑体"/>
          <w:sz w:val="32"/>
          <w:szCs w:val="32"/>
          <w:highlight w:val="none"/>
          <w:lang w:val="en-US" w:eastAsia="zh-CN"/>
        </w:rPr>
        <w:t>，</w:t>
      </w:r>
      <w:r>
        <w:rPr>
          <w:rFonts w:eastAsia="仿宋_GB2312"/>
          <w:sz w:val="32"/>
          <w:szCs w:val="32"/>
        </w:rPr>
        <w:t>项目使用单位应当根据本办法第三至七条有关规定，会同市代建管理机构提出项目建设管理模式建议，纳入项目建议书或可行性研究报告、初步设计概算的论证内容。</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第十四条  </w:t>
      </w:r>
      <w:r>
        <w:rPr>
          <w:rFonts w:eastAsia="仿宋_GB2312"/>
          <w:sz w:val="32"/>
          <w:szCs w:val="32"/>
        </w:rPr>
        <w:t>拟采用集中建设管理模式的项目，项目使用单位负责提出项目需求，组织编制项目建议书或可行性研究报告。其中，项目使用单位为市直部门下属机构或二级预算单位的，应当先报其主管部门审核同意。项目建议书或可行性研究报告经批准后，市代建管理机构负责办理后续阶段有关文件编报工作，项目使用单位应当予以协助。</w:t>
      </w:r>
    </w:p>
    <w:p>
      <w:pPr>
        <w:adjustRightInd w:val="0"/>
        <w:snapToGrid w:val="0"/>
        <w:spacing w:line="600" w:lineRule="exact"/>
        <w:ind w:firstLine="622" w:firstLineChars="200"/>
        <w:rPr>
          <w:rFonts w:eastAsia="仿宋_GB2312"/>
          <w:sz w:val="32"/>
          <w:szCs w:val="32"/>
        </w:rPr>
      </w:pPr>
      <w:r>
        <w:rPr>
          <w:rFonts w:eastAsia="仿宋_GB2312"/>
          <w:sz w:val="32"/>
          <w:szCs w:val="32"/>
        </w:rPr>
        <w:t>采用自行组织建设模式的项目，本单位负责项目建议书、可行性研究报告、初步设计及概算编报工作。</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第十五条  </w:t>
      </w:r>
      <w:r>
        <w:rPr>
          <w:rFonts w:eastAsia="仿宋_GB2312"/>
          <w:sz w:val="32"/>
          <w:szCs w:val="32"/>
        </w:rPr>
        <w:t>对采用集中建设管理的房屋建筑和市政工程类项目，项目使用单位在组织编制项目建议书或可行性研究报告过程中，应当主动与市代建管理机构衔接，及时提请市代建管理机构从下列方面对项目进行审查:</w:t>
      </w:r>
    </w:p>
    <w:p>
      <w:pPr>
        <w:adjustRightInd w:val="0"/>
        <w:snapToGrid w:val="0"/>
        <w:spacing w:line="600" w:lineRule="exact"/>
        <w:ind w:firstLine="622" w:firstLineChars="200"/>
        <w:rPr>
          <w:rFonts w:eastAsia="仿宋_GB2312"/>
          <w:sz w:val="32"/>
          <w:szCs w:val="32"/>
        </w:rPr>
      </w:pPr>
      <w:r>
        <w:rPr>
          <w:rFonts w:eastAsia="仿宋_GB2312"/>
          <w:sz w:val="32"/>
          <w:szCs w:val="32"/>
        </w:rPr>
        <w:t>（一）项目技术可行性和合理性；</w:t>
      </w:r>
    </w:p>
    <w:p>
      <w:pPr>
        <w:adjustRightInd w:val="0"/>
        <w:snapToGrid w:val="0"/>
        <w:spacing w:line="600" w:lineRule="exact"/>
        <w:ind w:firstLine="622" w:firstLineChars="200"/>
        <w:rPr>
          <w:rFonts w:eastAsia="仿宋_GB2312"/>
          <w:sz w:val="32"/>
          <w:szCs w:val="32"/>
        </w:rPr>
      </w:pPr>
      <w:r>
        <w:rPr>
          <w:rFonts w:eastAsia="仿宋_GB2312"/>
          <w:sz w:val="32"/>
          <w:szCs w:val="32"/>
        </w:rPr>
        <w:t>（二）项目涉及的规划、土地、消防、人防、市政公用基础设施配套等建设条件落实情况。</w:t>
      </w:r>
    </w:p>
    <w:p>
      <w:pPr>
        <w:adjustRightInd w:val="0"/>
        <w:snapToGrid w:val="0"/>
        <w:spacing w:line="600" w:lineRule="exact"/>
        <w:ind w:firstLine="622" w:firstLineChars="200"/>
        <w:rPr>
          <w:rFonts w:eastAsia="仿宋_GB2312"/>
          <w:sz w:val="32"/>
          <w:szCs w:val="32"/>
        </w:rPr>
      </w:pPr>
      <w:r>
        <w:rPr>
          <w:rFonts w:eastAsia="仿宋_GB2312"/>
          <w:sz w:val="32"/>
          <w:szCs w:val="32"/>
        </w:rPr>
        <w:t>项目使用单位应当根据市代建管理机构提出的审查意见，完善项目建议书或可行性研究报告。市代建管理机构应当制定审查工作细则，明确审查具体内容、审查标准和审查要点等。</w:t>
      </w:r>
    </w:p>
    <w:p>
      <w:pPr>
        <w:adjustRightInd w:val="0"/>
        <w:snapToGrid w:val="0"/>
        <w:spacing w:line="600" w:lineRule="exact"/>
        <w:ind w:firstLine="622" w:firstLineChars="200"/>
        <w:rPr>
          <w:rFonts w:eastAsia="仿宋_GB2312"/>
          <w:sz w:val="32"/>
          <w:szCs w:val="32"/>
        </w:rPr>
      </w:pPr>
      <w:r>
        <w:rPr>
          <w:rFonts w:eastAsia="仿宋_GB2312"/>
          <w:sz w:val="32"/>
          <w:szCs w:val="32"/>
        </w:rPr>
        <w:t>交通、水利、能源等领域的项目前期论证审查，仍按现行规定执行。</w:t>
      </w:r>
    </w:p>
    <w:p>
      <w:pPr>
        <w:adjustRightInd w:val="0"/>
        <w:snapToGrid w:val="0"/>
        <w:spacing w:line="600" w:lineRule="exact"/>
        <w:ind w:firstLine="622" w:firstLineChars="200"/>
        <w:rPr>
          <w:rFonts w:eastAsia="仿宋_GB2312"/>
          <w:sz w:val="32"/>
          <w:szCs w:val="32"/>
          <w:highlight w:val="yellow"/>
          <w:shd w:val="clear" w:color="auto" w:fill="FFFFFF"/>
        </w:rPr>
      </w:pPr>
      <w:r>
        <w:rPr>
          <w:rFonts w:eastAsia="黑体"/>
          <w:sz w:val="32"/>
          <w:szCs w:val="32"/>
        </w:rPr>
        <w:t xml:space="preserve">第十六条  </w:t>
      </w:r>
      <w:r>
        <w:rPr>
          <w:rFonts w:eastAsia="仿宋_GB2312"/>
          <w:sz w:val="32"/>
          <w:szCs w:val="32"/>
        </w:rPr>
        <w:t>项目建议书或可行性研究报告编制完成后，由项目使用单位按照有关规定程序报批。</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第十七条  </w:t>
      </w:r>
      <w:r>
        <w:rPr>
          <w:rFonts w:eastAsia="仿宋_GB2312"/>
          <w:sz w:val="32"/>
          <w:szCs w:val="32"/>
        </w:rPr>
        <w:t>市发展改革部门在项目建议书或可行性研究报告批复中，应当对项目建设管理模式予以明确，包括是否实行市场化代建等内容，同时抄送市纪委监委和市财政局、审计局。</w:t>
      </w:r>
    </w:p>
    <w:p>
      <w:pPr>
        <w:adjustRightInd w:val="0"/>
        <w:snapToGrid w:val="0"/>
        <w:spacing w:line="600" w:lineRule="exact"/>
        <w:ind w:firstLine="622" w:firstLineChars="200"/>
        <w:rPr>
          <w:rFonts w:eastAsia="方正小标宋简体"/>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第三章  项目组织实施</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第十八条  </w:t>
      </w:r>
      <w:r>
        <w:rPr>
          <w:rFonts w:eastAsia="仿宋_GB2312"/>
          <w:sz w:val="32"/>
          <w:szCs w:val="32"/>
        </w:rPr>
        <w:t>市代建管理机构或市场化代建单位可代表市政府或项目使用单位，以项目建设单位的名义直接申办不涉及产权的行政审批和技术审查事项。</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第十九条  </w:t>
      </w:r>
      <w:r>
        <w:rPr>
          <w:rFonts w:eastAsia="仿宋_GB2312"/>
          <w:sz w:val="32"/>
          <w:szCs w:val="32"/>
        </w:rPr>
        <w:t>项目建设单位应当根据国家和省、市有关法律法规及规章制度，以及核准的项目招标方式，选定勘察、设计、施工、监理等单位和重要设备、材料等货物供应单位。</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第二十条  </w:t>
      </w:r>
      <w:r>
        <w:rPr>
          <w:rFonts w:eastAsia="仿宋_GB2312"/>
          <w:sz w:val="32"/>
          <w:szCs w:val="32"/>
        </w:rPr>
        <w:t>对采用集中建设管理模式的项目，市代建管理机构应当在省、市数字政府改革建设总体框架下，运用信息化技术实现项目信息资源共享、协同工作，提高项目建设管理水平。</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第二十一条  </w:t>
      </w:r>
      <w:r>
        <w:rPr>
          <w:rFonts w:eastAsia="仿宋_GB2312"/>
          <w:sz w:val="32"/>
          <w:szCs w:val="32"/>
        </w:rPr>
        <w:t>项目建设单位应当监督指导参建单位科学合理做好项目质量、安全、投资及工期管理，确保项目按期保质交付使用。</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第二十二条  </w:t>
      </w:r>
      <w:r>
        <w:rPr>
          <w:rFonts w:eastAsia="仿宋_GB2312"/>
          <w:sz w:val="32"/>
          <w:szCs w:val="32"/>
        </w:rPr>
        <w:t>项目建成后，项目建设单位应当按照有关规定组织竣工验收，竣工验收合格后，及时交付使用，并按规定向市财政部门或项目使用单位主管部门申请办理项目工程结算和</w:t>
      </w:r>
      <w:r>
        <w:rPr>
          <w:rFonts w:hint="eastAsia" w:eastAsia="仿宋_GB2312"/>
          <w:sz w:val="32"/>
          <w:szCs w:val="32"/>
          <w:highlight w:val="none"/>
          <w:lang w:val="en-US" w:eastAsia="zh-CN"/>
        </w:rPr>
        <w:t>协助使用单位办理</w:t>
      </w:r>
      <w:r>
        <w:rPr>
          <w:rFonts w:eastAsia="仿宋_GB2312"/>
          <w:sz w:val="32"/>
          <w:szCs w:val="32"/>
          <w:highlight w:val="none"/>
        </w:rPr>
        <w:t>竣工财务决算。</w:t>
      </w:r>
      <w:r>
        <w:rPr>
          <w:rFonts w:eastAsia="仿宋_GB2312"/>
          <w:sz w:val="32"/>
          <w:szCs w:val="32"/>
        </w:rPr>
        <w:t>对采用集中建设管理模式的项目，市发展改革、财政部门参与项目建设单位组织的竣工验收工作。</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第二十三条  </w:t>
      </w:r>
      <w:r>
        <w:rPr>
          <w:rFonts w:eastAsia="仿宋_GB2312"/>
          <w:sz w:val="32"/>
          <w:szCs w:val="32"/>
        </w:rPr>
        <w:t>采用集中建设管理模式的项目，自竣工财务决算批复之日起，市代建管理机构应当在1个月内，按照市财政部门或项目使用单位主管部门批准的资产价值向项目使用单位办理资产移交手续。</w:t>
      </w:r>
    </w:p>
    <w:p>
      <w:pPr>
        <w:adjustRightInd w:val="0"/>
        <w:snapToGrid w:val="0"/>
        <w:spacing w:line="600" w:lineRule="exact"/>
        <w:ind w:firstLine="622" w:firstLineChars="200"/>
        <w:rPr>
          <w:rFonts w:eastAsia="仿宋_GB2312"/>
          <w:sz w:val="32"/>
          <w:szCs w:val="32"/>
        </w:rPr>
      </w:pPr>
      <w:r>
        <w:rPr>
          <w:rFonts w:eastAsia="仿宋_GB2312"/>
          <w:sz w:val="32"/>
          <w:szCs w:val="32"/>
        </w:rPr>
        <w:t>市代建管理机构应当按照国家有关规定加强项目档案管理，将项目审批和实施过程中的有关文件、资料存档</w:t>
      </w:r>
      <w:r>
        <w:rPr>
          <w:rFonts w:hint="eastAsia" w:eastAsia="仿宋_GB2312"/>
          <w:sz w:val="32"/>
          <w:szCs w:val="32"/>
        </w:rPr>
        <w:t>，</w:t>
      </w:r>
      <w:r>
        <w:rPr>
          <w:rFonts w:eastAsia="仿宋_GB2312"/>
          <w:sz w:val="32"/>
          <w:szCs w:val="32"/>
        </w:rPr>
        <w:t>在向项目使用单位办理资产移交手续时，一并将有关档案向项目使用单位和有关部门移交。</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第二十四条  </w:t>
      </w:r>
      <w:r>
        <w:rPr>
          <w:rFonts w:eastAsia="仿宋_GB2312"/>
          <w:sz w:val="32"/>
          <w:szCs w:val="32"/>
        </w:rPr>
        <w:t>采用集中建设管理模式的项目交付使用后，项目使用单位负责项目日常维护管理工作，市代建管理机构在质保期内负责因建设原因造成的项目质量问题保修管理工作。</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第四章  项目资金管理</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第二十五条  </w:t>
      </w:r>
      <w:r>
        <w:rPr>
          <w:rFonts w:eastAsia="仿宋_GB2312"/>
          <w:sz w:val="32"/>
          <w:szCs w:val="32"/>
        </w:rPr>
        <w:t>项目财务管理及项目建设管理费的计提、使用应当严格按照国家、省和市有关基本建设财务管理规定执行。</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第二十六条  </w:t>
      </w:r>
      <w:r>
        <w:rPr>
          <w:rFonts w:eastAsia="仿宋_GB2312"/>
          <w:sz w:val="32"/>
          <w:szCs w:val="32"/>
        </w:rPr>
        <w:t>市发展改革部门负责组织编制市级政府投资计划，市财政部门负责落实项目建设资金来源，并安排预算。项目建设单位</w:t>
      </w:r>
      <w:r>
        <w:rPr>
          <w:rFonts w:hint="eastAsia" w:eastAsia="仿宋_GB2312"/>
          <w:sz w:val="32"/>
          <w:szCs w:val="32"/>
          <w:highlight w:val="none"/>
          <w:lang w:val="en-US" w:eastAsia="zh-CN"/>
        </w:rPr>
        <w:t>协助使用单位</w:t>
      </w:r>
      <w:r>
        <w:rPr>
          <w:rFonts w:eastAsia="仿宋_GB2312"/>
          <w:sz w:val="32"/>
          <w:szCs w:val="32"/>
        </w:rPr>
        <w:t>根据工作进度和资金需求，提出年度市级政府投资计划建议报市发展改革部门审定。</w:t>
      </w:r>
    </w:p>
    <w:p>
      <w:pPr>
        <w:adjustRightInd w:val="0"/>
        <w:snapToGrid w:val="0"/>
        <w:spacing w:line="600" w:lineRule="exact"/>
        <w:ind w:firstLine="622" w:firstLineChars="200"/>
        <w:rPr>
          <w:rFonts w:eastAsia="仿宋_GB2312"/>
          <w:sz w:val="32"/>
          <w:szCs w:val="32"/>
        </w:rPr>
      </w:pPr>
      <w:r>
        <w:rPr>
          <w:rFonts w:eastAsia="仿宋_GB2312"/>
          <w:sz w:val="32"/>
          <w:szCs w:val="32"/>
        </w:rPr>
        <w:t>项目使用单位单独或会同市代建管理机构按规定编报部门预算，并按要求做好信息公开等相关工作。</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第二十七条  </w:t>
      </w:r>
      <w:r>
        <w:rPr>
          <w:rFonts w:eastAsia="仿宋_GB2312"/>
          <w:sz w:val="32"/>
          <w:szCs w:val="32"/>
        </w:rPr>
        <w:t>项目资金来源安排有自筹资金和中央、省、市财政资金的，自筹资金由项目使用单位按照项目推进计划筹措到位。对采用集中建设管理模式的项目，由项目使用单位授权市代建管理机构统一办理支付。</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第二十八条  </w:t>
      </w:r>
      <w:r>
        <w:rPr>
          <w:rFonts w:eastAsia="仿宋_GB2312"/>
          <w:sz w:val="32"/>
          <w:szCs w:val="32"/>
        </w:rPr>
        <w:t>对市场化代建单位组织建设的项目，项目建设单位应当在投资概算中安排一定比例的费用用于支付市场化代建单位服务费，计取标准和使用管理按照国家、省、市有关规定执行。</w:t>
      </w:r>
    </w:p>
    <w:p>
      <w:pPr>
        <w:adjustRightInd w:val="0"/>
        <w:snapToGrid w:val="0"/>
        <w:spacing w:line="600" w:lineRule="exact"/>
        <w:ind w:firstLine="622" w:firstLineChars="200"/>
        <w:rPr>
          <w:rFonts w:eastAsia="方正小标宋简体"/>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第五章  监督要求与责任追究</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ind w:firstLine="622" w:firstLineChars="200"/>
        <w:rPr>
          <w:rFonts w:eastAsia="仿宋_GB2312"/>
          <w:sz w:val="32"/>
          <w:szCs w:val="32"/>
        </w:rPr>
      </w:pPr>
      <w:r>
        <w:rPr>
          <w:rFonts w:eastAsia="黑体"/>
          <w:sz w:val="32"/>
          <w:szCs w:val="32"/>
        </w:rPr>
        <w:t xml:space="preserve">第二十九条  </w:t>
      </w:r>
      <w:r>
        <w:rPr>
          <w:rFonts w:eastAsia="仿宋_GB2312"/>
          <w:sz w:val="32"/>
          <w:szCs w:val="32"/>
        </w:rPr>
        <w:t>项目建设单位应当</w:t>
      </w:r>
      <w:r>
        <w:rPr>
          <w:rFonts w:hint="eastAsia" w:eastAsia="仿宋_GB2312"/>
          <w:sz w:val="32"/>
          <w:szCs w:val="32"/>
          <w:highlight w:val="none"/>
          <w:lang w:val="en-US" w:eastAsia="zh-CN"/>
        </w:rPr>
        <w:t>协助使用单位</w:t>
      </w:r>
      <w:r>
        <w:rPr>
          <w:rFonts w:eastAsia="仿宋_GB2312"/>
          <w:sz w:val="32"/>
          <w:szCs w:val="32"/>
        </w:rPr>
        <w:t>通过广东省投资项目在线审批监管平台报送项目开工建设、建设进度、竣工的基本信息。</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第三十条  </w:t>
      </w:r>
      <w:r>
        <w:rPr>
          <w:rFonts w:eastAsia="仿宋_GB2312"/>
          <w:sz w:val="32"/>
          <w:szCs w:val="32"/>
        </w:rPr>
        <w:t>对项目负有监督职责的各有关部门，按照市政府和本办法规定的职责分工，履行相应的监督管理职责。</w:t>
      </w:r>
    </w:p>
    <w:p>
      <w:pPr>
        <w:adjustRightInd w:val="0"/>
        <w:snapToGrid w:val="0"/>
        <w:spacing w:line="600" w:lineRule="exact"/>
        <w:ind w:firstLine="622" w:firstLineChars="200"/>
        <w:rPr>
          <w:rFonts w:eastAsia="仿宋_GB2312"/>
          <w:sz w:val="32"/>
          <w:szCs w:val="32"/>
        </w:rPr>
      </w:pPr>
      <w:r>
        <w:rPr>
          <w:rFonts w:eastAsia="仿宋_GB2312"/>
          <w:sz w:val="32"/>
          <w:szCs w:val="32"/>
        </w:rPr>
        <w:t>具体监督管理职责详见本办法附件。</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第三十一条  </w:t>
      </w:r>
      <w:r>
        <w:rPr>
          <w:rFonts w:eastAsia="仿宋_GB2312"/>
          <w:sz w:val="32"/>
          <w:szCs w:val="32"/>
        </w:rPr>
        <w:t>项目建设单位未按规定开展招标工作的，由有关行政监督部门按照国家和省有关法律法规及规章制度进行处罚，市发展改革部门可暂停下达投资计划，市财政部门可暂停拨付项目资金。</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第三十二条  </w:t>
      </w:r>
      <w:r>
        <w:rPr>
          <w:rFonts w:eastAsia="仿宋_GB2312"/>
          <w:sz w:val="32"/>
          <w:szCs w:val="32"/>
        </w:rPr>
        <w:t>项目建设单位不依法依规履行职责的，由其上级行政机关责令改正；造成项目投资失控、存在安全隐患、严重超工期等后果的，或未经批准擅自调整建设规模、投资、内容和标准的，对直接负责单位的主要责任人和其他直接责任人依照有关规定给予追责问责；构成犯罪的，依法追究刑事责任。</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第三十三条  </w:t>
      </w:r>
      <w:r>
        <w:rPr>
          <w:rFonts w:eastAsia="仿宋_GB2312"/>
          <w:sz w:val="32"/>
          <w:szCs w:val="32"/>
        </w:rPr>
        <w:t>项目建设单位工作人员与项目参建单位等串通，弄虚作假谋取不正当利益或降低工程质量等损害国家利益的，依法依规追究相关单位和责任人责任；构成犯罪的，依法追究刑事责任。</w:t>
      </w:r>
    </w:p>
    <w:p>
      <w:pPr>
        <w:adjustRightInd w:val="0"/>
        <w:snapToGrid w:val="0"/>
        <w:spacing w:line="600" w:lineRule="exact"/>
        <w:ind w:firstLine="622" w:firstLineChars="200"/>
        <w:rPr>
          <w:rFonts w:eastAsia="仿宋_GB2312"/>
          <w:sz w:val="32"/>
          <w:szCs w:val="32"/>
        </w:rPr>
      </w:pPr>
      <w:r>
        <w:rPr>
          <w:rFonts w:eastAsia="黑体"/>
          <w:sz w:val="32"/>
          <w:szCs w:val="32"/>
        </w:rPr>
        <w:t xml:space="preserve">第三十四条  </w:t>
      </w:r>
      <w:r>
        <w:rPr>
          <w:rFonts w:eastAsia="仿宋_GB2312"/>
          <w:sz w:val="32"/>
          <w:szCs w:val="32"/>
        </w:rPr>
        <w:t>项目行业主管部门应当建立履约诚信评价体系，对市场化代建单位或项目参建单位的履约诚信情况及服务态度等进行评价，建立守信激励、失信惩戒机制。</w:t>
      </w:r>
    </w:p>
    <w:p>
      <w:pPr>
        <w:adjustRightInd w:val="0"/>
        <w:snapToGrid w:val="0"/>
        <w:spacing w:line="600" w:lineRule="exact"/>
        <w:ind w:firstLine="622" w:firstLineChars="200"/>
        <w:rPr>
          <w:rFonts w:eastAsia="仿宋_GB2312"/>
          <w:sz w:val="32"/>
          <w:szCs w:val="32"/>
        </w:rPr>
      </w:pPr>
    </w:p>
    <w:p>
      <w:pPr>
        <w:adjustRightInd w:val="0"/>
        <w:snapToGrid w:val="0"/>
        <w:spacing w:line="600" w:lineRule="exact"/>
        <w:jc w:val="center"/>
        <w:rPr>
          <w:rFonts w:eastAsia="方正小标宋简体"/>
          <w:sz w:val="36"/>
          <w:szCs w:val="36"/>
        </w:rPr>
      </w:pPr>
      <w:r>
        <w:rPr>
          <w:rFonts w:eastAsia="方正小标宋简体"/>
          <w:sz w:val="36"/>
          <w:szCs w:val="36"/>
        </w:rPr>
        <w:t>第六章  附则</w:t>
      </w:r>
    </w:p>
    <w:p>
      <w:pPr>
        <w:adjustRightInd w:val="0"/>
        <w:snapToGrid w:val="0"/>
        <w:spacing w:line="600" w:lineRule="exact"/>
        <w:ind w:firstLine="622" w:firstLineChars="200"/>
        <w:rPr>
          <w:rFonts w:eastAsia="仿宋_GB2312"/>
          <w:sz w:val="32"/>
          <w:szCs w:val="32"/>
        </w:rPr>
      </w:pPr>
    </w:p>
    <w:p>
      <w:pPr>
        <w:pStyle w:val="3"/>
        <w:adjustRightInd w:val="0"/>
        <w:snapToGrid w:val="0"/>
        <w:spacing w:line="600" w:lineRule="exact"/>
        <w:ind w:firstLine="622" w:firstLineChars="200"/>
        <w:jc w:val="both"/>
        <w:rPr>
          <w:rFonts w:eastAsia="仿宋_GB2312"/>
          <w:sz w:val="32"/>
          <w:szCs w:val="32"/>
        </w:rPr>
      </w:pPr>
      <w:r>
        <w:rPr>
          <w:rFonts w:eastAsia="黑体"/>
          <w:sz w:val="32"/>
          <w:szCs w:val="32"/>
        </w:rPr>
        <w:t>第三十</w:t>
      </w:r>
      <w:r>
        <w:rPr>
          <w:rFonts w:hint="eastAsia" w:eastAsia="黑体"/>
          <w:sz w:val="32"/>
          <w:szCs w:val="32"/>
        </w:rPr>
        <w:t>五</w:t>
      </w:r>
      <w:r>
        <w:rPr>
          <w:rFonts w:eastAsia="黑体"/>
          <w:sz w:val="32"/>
          <w:szCs w:val="32"/>
        </w:rPr>
        <w:t xml:space="preserve">条  </w:t>
      </w:r>
      <w:r>
        <w:rPr>
          <w:rFonts w:eastAsia="仿宋_GB2312"/>
          <w:sz w:val="32"/>
          <w:szCs w:val="32"/>
        </w:rPr>
        <w:t>本办法施行之日前已明确实行代建的项目，按原规定执行。</w:t>
      </w:r>
    </w:p>
    <w:p>
      <w:pPr>
        <w:adjustRightInd w:val="0"/>
        <w:snapToGrid w:val="0"/>
        <w:spacing w:line="600" w:lineRule="exact"/>
        <w:ind w:firstLine="622" w:firstLineChars="200"/>
        <w:rPr>
          <w:rFonts w:eastAsia="仿宋_GB2312"/>
          <w:sz w:val="32"/>
          <w:szCs w:val="32"/>
        </w:rPr>
      </w:pPr>
      <w:r>
        <w:rPr>
          <w:rFonts w:eastAsia="黑体"/>
          <w:sz w:val="32"/>
          <w:szCs w:val="32"/>
        </w:rPr>
        <w:t>第三十</w:t>
      </w:r>
      <w:r>
        <w:rPr>
          <w:rFonts w:hint="eastAsia" w:eastAsia="黑体"/>
          <w:sz w:val="32"/>
          <w:szCs w:val="32"/>
        </w:rPr>
        <w:t>六</w:t>
      </w:r>
      <w:r>
        <w:rPr>
          <w:rFonts w:eastAsia="黑体"/>
          <w:sz w:val="32"/>
          <w:szCs w:val="32"/>
        </w:rPr>
        <w:t xml:space="preserve">条  </w:t>
      </w:r>
      <w:r>
        <w:rPr>
          <w:rFonts w:eastAsia="仿宋_GB2312"/>
          <w:sz w:val="32"/>
          <w:szCs w:val="32"/>
        </w:rPr>
        <w:t>法律法规、规章制度和上级部门对项目建设管理另有规定的，从其规定。</w:t>
      </w:r>
    </w:p>
    <w:p>
      <w:pPr>
        <w:adjustRightInd w:val="0"/>
        <w:snapToGrid w:val="0"/>
        <w:spacing w:line="600" w:lineRule="exact"/>
        <w:ind w:firstLine="622" w:firstLineChars="200"/>
        <w:rPr>
          <w:rFonts w:eastAsia="仿宋_GB2312"/>
          <w:sz w:val="32"/>
          <w:szCs w:val="32"/>
        </w:rPr>
      </w:pPr>
      <w:r>
        <w:rPr>
          <w:rFonts w:eastAsia="黑体"/>
          <w:sz w:val="32"/>
          <w:szCs w:val="32"/>
        </w:rPr>
        <w:t>第三十</w:t>
      </w:r>
      <w:r>
        <w:rPr>
          <w:rFonts w:hint="eastAsia" w:eastAsia="黑体"/>
          <w:sz w:val="32"/>
          <w:szCs w:val="32"/>
        </w:rPr>
        <w:t>七</w:t>
      </w:r>
      <w:r>
        <w:rPr>
          <w:rFonts w:eastAsia="黑体"/>
          <w:sz w:val="32"/>
          <w:szCs w:val="32"/>
        </w:rPr>
        <w:t xml:space="preserve">条  </w:t>
      </w:r>
      <w:r>
        <w:rPr>
          <w:rFonts w:eastAsia="仿宋_GB2312"/>
          <w:sz w:val="32"/>
          <w:szCs w:val="32"/>
        </w:rPr>
        <w:t>本办法自</w:t>
      </w: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日起施行，有效期至</w:t>
      </w:r>
      <w:r>
        <w:rPr>
          <w:rFonts w:hint="eastAsia" w:eastAsia="仿宋_GB2312"/>
          <w:sz w:val="32"/>
          <w:szCs w:val="32"/>
        </w:rPr>
        <w:t>2028</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w:t>
      </w:r>
    </w:p>
    <w:p>
      <w:pPr>
        <w:adjustRightInd w:val="0"/>
        <w:snapToGrid w:val="0"/>
        <w:spacing w:line="600" w:lineRule="exact"/>
        <w:ind w:firstLine="622" w:firstLineChars="200"/>
        <w:rPr>
          <w:rFonts w:eastAsia="仿宋_GB2312"/>
          <w:sz w:val="32"/>
          <w:szCs w:val="32"/>
        </w:rPr>
      </w:pPr>
      <w:r>
        <w:rPr>
          <w:rFonts w:eastAsia="仿宋_GB2312"/>
          <w:sz w:val="32"/>
          <w:szCs w:val="32"/>
        </w:rPr>
        <w:t>附件</w:t>
      </w:r>
      <w:r>
        <w:rPr>
          <w:rFonts w:hint="eastAsia" w:eastAsia="仿宋_GB2312"/>
          <w:sz w:val="32"/>
          <w:szCs w:val="32"/>
        </w:rPr>
        <w:t>：</w:t>
      </w:r>
      <w:r>
        <w:rPr>
          <w:rFonts w:eastAsia="仿宋_GB2312"/>
          <w:sz w:val="32"/>
          <w:szCs w:val="32"/>
        </w:rPr>
        <w:t>市政府投资市属非经营性项目建设管理职责分工表</w:t>
      </w:r>
    </w:p>
    <w:p>
      <w:pPr>
        <w:spacing w:line="600" w:lineRule="exact"/>
        <w:ind w:firstLine="622" w:firstLineChars="200"/>
        <w:rPr>
          <w:rFonts w:eastAsia="仿宋_GB2312"/>
          <w:sz w:val="32"/>
          <w:szCs w:val="32"/>
        </w:rPr>
        <w:sectPr>
          <w:headerReference r:id="rId3" w:type="default"/>
          <w:footerReference r:id="rId4" w:type="default"/>
          <w:pgSz w:w="11906" w:h="16838"/>
          <w:pgMar w:top="1814" w:right="1531" w:bottom="1701" w:left="1531" w:header="1247" w:footer="1361" w:gutter="0"/>
          <w:cols w:space="720" w:num="1"/>
          <w:docGrid w:type="linesAndChars" w:linePitch="605" w:charSpace="-1844"/>
        </w:sectPr>
      </w:pPr>
    </w:p>
    <w:p>
      <w:pPr>
        <w:spacing w:line="500" w:lineRule="exact"/>
        <w:rPr>
          <w:rFonts w:eastAsia="黑体"/>
          <w:sz w:val="29"/>
          <w:szCs w:val="29"/>
        </w:rPr>
      </w:pPr>
      <w:r>
        <w:rPr>
          <w:rFonts w:eastAsia="黑体"/>
          <w:sz w:val="29"/>
          <w:szCs w:val="29"/>
        </w:rPr>
        <w:t>附件</w:t>
      </w:r>
    </w:p>
    <w:p>
      <w:pPr>
        <w:pStyle w:val="2"/>
        <w:widowControl w:val="0"/>
        <w:spacing w:before="0" w:beforeAutospacing="0" w:after="0" w:afterAutospacing="0" w:line="500" w:lineRule="exact"/>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市政府投资市属非经营性项目建设管理职责分工表</w:t>
      </w:r>
    </w:p>
    <w:p>
      <w:pPr>
        <w:spacing w:line="500" w:lineRule="exact"/>
        <w:rPr>
          <w:sz w:val="28"/>
          <w:szCs w:val="28"/>
        </w:rPr>
      </w:pPr>
    </w:p>
    <w:tbl>
      <w:tblPr>
        <w:tblStyle w:val="7"/>
        <w:tblW w:w="14451"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75"/>
        <w:gridCol w:w="2482"/>
        <w:gridCol w:w="9723"/>
        <w:gridCol w:w="15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8" w:hRule="atLeast"/>
          <w:tblHeader/>
          <w:jc w:val="center"/>
        </w:trPr>
        <w:tc>
          <w:tcPr>
            <w:tcW w:w="675" w:type="dxa"/>
            <w:tcBorders>
              <w:top w:val="single" w:color="231F20" w:sz="6" w:space="0"/>
              <w:left w:val="single" w:color="231F20" w:sz="6" w:space="0"/>
            </w:tcBorders>
            <w:noWrap w:val="0"/>
            <w:vAlign w:val="center"/>
          </w:tcPr>
          <w:p>
            <w:pPr>
              <w:spacing w:line="340" w:lineRule="exact"/>
              <w:jc w:val="center"/>
              <w:rPr>
                <w:rFonts w:hint="eastAsia" w:ascii="黑体" w:hAnsi="黑体" w:eastAsia="黑体" w:cs="黑体"/>
                <w:sz w:val="24"/>
              </w:rPr>
            </w:pPr>
            <w:r>
              <w:rPr>
                <w:rFonts w:hint="eastAsia" w:ascii="黑体" w:hAnsi="黑体" w:eastAsia="黑体" w:cs="黑体"/>
                <w:sz w:val="24"/>
              </w:rPr>
              <w:t>序号</w:t>
            </w:r>
          </w:p>
        </w:tc>
        <w:tc>
          <w:tcPr>
            <w:tcW w:w="2482" w:type="dxa"/>
            <w:tcBorders>
              <w:top w:val="single" w:color="231F20" w:sz="6" w:space="0"/>
            </w:tcBorders>
            <w:noWrap w:val="0"/>
            <w:vAlign w:val="center"/>
          </w:tcPr>
          <w:p>
            <w:pPr>
              <w:spacing w:line="340" w:lineRule="exact"/>
              <w:jc w:val="center"/>
              <w:rPr>
                <w:rFonts w:hint="eastAsia" w:ascii="黑体" w:hAnsi="黑体" w:eastAsia="黑体" w:cs="黑体"/>
                <w:sz w:val="24"/>
              </w:rPr>
            </w:pPr>
            <w:r>
              <w:rPr>
                <w:rFonts w:hint="eastAsia" w:ascii="黑体" w:hAnsi="黑体" w:eastAsia="黑体" w:cs="黑体"/>
                <w:sz w:val="24"/>
              </w:rPr>
              <w:t>单位</w:t>
            </w:r>
          </w:p>
        </w:tc>
        <w:tc>
          <w:tcPr>
            <w:tcW w:w="9723" w:type="dxa"/>
            <w:tcBorders>
              <w:top w:val="single" w:color="231F20" w:sz="6" w:space="0"/>
            </w:tcBorders>
            <w:noWrap w:val="0"/>
            <w:vAlign w:val="center"/>
          </w:tcPr>
          <w:p>
            <w:pPr>
              <w:spacing w:line="340" w:lineRule="exact"/>
              <w:jc w:val="center"/>
              <w:rPr>
                <w:rFonts w:hint="eastAsia" w:ascii="黑体" w:hAnsi="黑体" w:eastAsia="黑体" w:cs="黑体"/>
                <w:sz w:val="24"/>
              </w:rPr>
            </w:pPr>
            <w:r>
              <w:rPr>
                <w:rFonts w:hint="eastAsia" w:ascii="黑体" w:hAnsi="黑体" w:eastAsia="黑体" w:cs="黑体"/>
                <w:sz w:val="24"/>
              </w:rPr>
              <w:t>职责分工</w:t>
            </w:r>
          </w:p>
        </w:tc>
        <w:tc>
          <w:tcPr>
            <w:tcW w:w="1571" w:type="dxa"/>
            <w:tcBorders>
              <w:top w:val="single" w:color="231F20" w:sz="6" w:space="0"/>
              <w:right w:val="single" w:color="231F20" w:sz="6" w:space="0"/>
            </w:tcBorders>
            <w:noWrap w:val="0"/>
            <w:vAlign w:val="center"/>
          </w:tcPr>
          <w:p>
            <w:pPr>
              <w:spacing w:line="34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88" w:hRule="atLeast"/>
          <w:jc w:val="center"/>
        </w:trPr>
        <w:tc>
          <w:tcPr>
            <w:tcW w:w="675" w:type="dxa"/>
            <w:tcBorders>
              <w:left w:val="single" w:color="231F20" w:sz="6" w:space="0"/>
            </w:tcBorders>
            <w:noWrap w:val="0"/>
            <w:vAlign w:val="center"/>
          </w:tcPr>
          <w:p>
            <w:pPr>
              <w:spacing w:line="340" w:lineRule="exact"/>
              <w:jc w:val="center"/>
              <w:rPr>
                <w:sz w:val="24"/>
              </w:rPr>
            </w:pPr>
            <w:r>
              <w:rPr>
                <w:sz w:val="24"/>
              </w:rPr>
              <w:t>1</w:t>
            </w:r>
          </w:p>
        </w:tc>
        <w:tc>
          <w:tcPr>
            <w:tcW w:w="2482" w:type="dxa"/>
            <w:noWrap w:val="0"/>
            <w:vAlign w:val="center"/>
          </w:tcPr>
          <w:p>
            <w:pPr>
              <w:spacing w:line="340" w:lineRule="exact"/>
              <w:jc w:val="center"/>
              <w:rPr>
                <w:sz w:val="24"/>
              </w:rPr>
            </w:pPr>
            <w:r>
              <w:rPr>
                <w:sz w:val="24"/>
              </w:rPr>
              <w:t>市发展改革部门</w:t>
            </w:r>
          </w:p>
        </w:tc>
        <w:tc>
          <w:tcPr>
            <w:tcW w:w="9723" w:type="dxa"/>
            <w:noWrap w:val="0"/>
            <w:vAlign w:val="center"/>
          </w:tcPr>
          <w:p>
            <w:pPr>
              <w:spacing w:line="340" w:lineRule="exact"/>
              <w:rPr>
                <w:sz w:val="24"/>
              </w:rPr>
            </w:pPr>
            <w:r>
              <w:rPr>
                <w:sz w:val="24"/>
              </w:rPr>
              <w:t>（一）会同有关部门制订市属非经营性项目建设管理的有关政策，负责项目的投资综合管理；</w:t>
            </w:r>
          </w:p>
          <w:p>
            <w:pPr>
              <w:spacing w:line="340" w:lineRule="exact"/>
              <w:rPr>
                <w:sz w:val="24"/>
              </w:rPr>
            </w:pPr>
            <w:r>
              <w:rPr>
                <w:sz w:val="24"/>
              </w:rPr>
              <w:t>（二）按照有关规定审核或审批项目建议书、可行性研究报告、初步设计概算，审核下达项目投资计划；</w:t>
            </w:r>
          </w:p>
          <w:p>
            <w:pPr>
              <w:spacing w:line="340" w:lineRule="exact"/>
              <w:rPr>
                <w:sz w:val="24"/>
              </w:rPr>
            </w:pPr>
            <w:r>
              <w:rPr>
                <w:sz w:val="24"/>
              </w:rPr>
              <w:t>（三）按照规定组织项目监督检查和项目建设后评价，参与项目竣工验收工作；</w:t>
            </w:r>
          </w:p>
          <w:p>
            <w:pPr>
              <w:spacing w:line="340" w:lineRule="exact"/>
              <w:rPr>
                <w:sz w:val="24"/>
              </w:rPr>
            </w:pPr>
            <w:r>
              <w:rPr>
                <w:sz w:val="24"/>
              </w:rPr>
              <w:t>（四）会同各有关部门对市政府投资市属非经营性项目的建设管理行为实施监督管理。</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6" w:hRule="atLeast"/>
          <w:jc w:val="center"/>
        </w:trPr>
        <w:tc>
          <w:tcPr>
            <w:tcW w:w="675" w:type="dxa"/>
            <w:tcBorders>
              <w:left w:val="single" w:color="231F20" w:sz="6" w:space="0"/>
            </w:tcBorders>
            <w:noWrap w:val="0"/>
            <w:vAlign w:val="center"/>
          </w:tcPr>
          <w:p>
            <w:pPr>
              <w:spacing w:line="340" w:lineRule="exact"/>
              <w:jc w:val="center"/>
              <w:rPr>
                <w:sz w:val="24"/>
              </w:rPr>
            </w:pPr>
            <w:r>
              <w:rPr>
                <w:sz w:val="24"/>
              </w:rPr>
              <w:t>2</w:t>
            </w:r>
          </w:p>
        </w:tc>
        <w:tc>
          <w:tcPr>
            <w:tcW w:w="2482" w:type="dxa"/>
            <w:noWrap w:val="0"/>
            <w:vAlign w:val="center"/>
          </w:tcPr>
          <w:p>
            <w:pPr>
              <w:spacing w:line="340" w:lineRule="exact"/>
              <w:jc w:val="center"/>
              <w:rPr>
                <w:sz w:val="24"/>
              </w:rPr>
            </w:pPr>
            <w:r>
              <w:rPr>
                <w:sz w:val="24"/>
              </w:rPr>
              <w:t>市财政部门</w:t>
            </w:r>
          </w:p>
        </w:tc>
        <w:tc>
          <w:tcPr>
            <w:tcW w:w="9723" w:type="dxa"/>
            <w:noWrap w:val="0"/>
            <w:vAlign w:val="center"/>
          </w:tcPr>
          <w:p>
            <w:pPr>
              <w:spacing w:line="340" w:lineRule="exact"/>
              <w:rPr>
                <w:sz w:val="24"/>
              </w:rPr>
            </w:pPr>
            <w:r>
              <w:rPr>
                <w:sz w:val="24"/>
              </w:rPr>
              <w:t>（一）参与项目估算（概算、预算、结算、决算）评审，安排项目年度基建支出预算，按照国库集中支付规定拨付资金，组织财政资金绩效评价，参与项目竣工验收工作；</w:t>
            </w:r>
          </w:p>
          <w:p>
            <w:pPr>
              <w:spacing w:line="340" w:lineRule="exact"/>
              <w:rPr>
                <w:sz w:val="24"/>
              </w:rPr>
            </w:pPr>
            <w:r>
              <w:rPr>
                <w:sz w:val="24"/>
              </w:rPr>
              <w:t>（二）负责对项目的财务活动实施监督管理。</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 w:hRule="atLeast"/>
          <w:jc w:val="center"/>
        </w:trPr>
        <w:tc>
          <w:tcPr>
            <w:tcW w:w="675" w:type="dxa"/>
            <w:tcBorders>
              <w:left w:val="single" w:color="231F20" w:sz="6" w:space="0"/>
            </w:tcBorders>
            <w:noWrap w:val="0"/>
            <w:vAlign w:val="center"/>
          </w:tcPr>
          <w:p>
            <w:pPr>
              <w:spacing w:line="340" w:lineRule="exact"/>
              <w:jc w:val="center"/>
              <w:rPr>
                <w:sz w:val="24"/>
              </w:rPr>
            </w:pPr>
            <w:r>
              <w:rPr>
                <w:sz w:val="24"/>
              </w:rPr>
              <w:t>3</w:t>
            </w:r>
          </w:p>
        </w:tc>
        <w:tc>
          <w:tcPr>
            <w:tcW w:w="2482" w:type="dxa"/>
            <w:noWrap w:val="0"/>
            <w:vAlign w:val="center"/>
          </w:tcPr>
          <w:p>
            <w:pPr>
              <w:spacing w:line="340" w:lineRule="exact"/>
              <w:jc w:val="center"/>
              <w:rPr>
                <w:sz w:val="24"/>
              </w:rPr>
            </w:pPr>
            <w:r>
              <w:rPr>
                <w:sz w:val="24"/>
              </w:rPr>
              <w:t>市自然资源部门</w:t>
            </w:r>
          </w:p>
        </w:tc>
        <w:tc>
          <w:tcPr>
            <w:tcW w:w="9723" w:type="dxa"/>
            <w:noWrap w:val="0"/>
            <w:vAlign w:val="center"/>
          </w:tcPr>
          <w:p>
            <w:pPr>
              <w:spacing w:line="340" w:lineRule="exact"/>
              <w:rPr>
                <w:sz w:val="24"/>
              </w:rPr>
            </w:pPr>
            <w:r>
              <w:rPr>
                <w:sz w:val="24"/>
              </w:rPr>
              <w:t>督促项目属地自然资源部门依法依规办理项目供地手续，核发项目规划、不动产权属证书等证件。</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 w:hRule="atLeast"/>
          <w:jc w:val="center"/>
        </w:trPr>
        <w:tc>
          <w:tcPr>
            <w:tcW w:w="675" w:type="dxa"/>
            <w:tcBorders>
              <w:left w:val="single" w:color="231F20" w:sz="6" w:space="0"/>
            </w:tcBorders>
            <w:noWrap w:val="0"/>
            <w:vAlign w:val="center"/>
          </w:tcPr>
          <w:p>
            <w:pPr>
              <w:spacing w:line="340" w:lineRule="exact"/>
              <w:jc w:val="center"/>
              <w:rPr>
                <w:sz w:val="24"/>
              </w:rPr>
            </w:pPr>
            <w:r>
              <w:rPr>
                <w:sz w:val="24"/>
              </w:rPr>
              <w:t>4</w:t>
            </w:r>
          </w:p>
        </w:tc>
        <w:tc>
          <w:tcPr>
            <w:tcW w:w="2482" w:type="dxa"/>
            <w:noWrap w:val="0"/>
            <w:vAlign w:val="center"/>
          </w:tcPr>
          <w:p>
            <w:pPr>
              <w:spacing w:line="340" w:lineRule="exact"/>
              <w:jc w:val="center"/>
              <w:rPr>
                <w:color w:val="auto"/>
                <w:sz w:val="24"/>
              </w:rPr>
            </w:pPr>
            <w:r>
              <w:rPr>
                <w:rFonts w:hint="eastAsia"/>
                <w:color w:val="auto"/>
                <w:sz w:val="24"/>
                <w:lang w:val="en-US" w:eastAsia="zh-CN"/>
              </w:rPr>
              <w:t>市</w:t>
            </w:r>
            <w:r>
              <w:rPr>
                <w:color w:val="auto"/>
                <w:sz w:val="24"/>
              </w:rPr>
              <w:t>房城乡建设部门</w:t>
            </w:r>
          </w:p>
        </w:tc>
        <w:tc>
          <w:tcPr>
            <w:tcW w:w="9723" w:type="dxa"/>
            <w:noWrap w:val="0"/>
            <w:vAlign w:val="center"/>
          </w:tcPr>
          <w:p>
            <w:pPr>
              <w:spacing w:line="340" w:lineRule="exact"/>
              <w:rPr>
                <w:color w:val="auto"/>
                <w:sz w:val="24"/>
              </w:rPr>
            </w:pPr>
            <w:r>
              <w:rPr>
                <w:color w:val="auto"/>
                <w:sz w:val="24"/>
              </w:rPr>
              <w:t>按照相关规定开展项目初步设计审查、消防设计审查、工程质量安全监督，核发施工许可证，办理竣工验收备案以及消防验收、备案和抽查。</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0" w:hRule="atLeast"/>
          <w:jc w:val="center"/>
        </w:trPr>
        <w:tc>
          <w:tcPr>
            <w:tcW w:w="675" w:type="dxa"/>
            <w:tcBorders>
              <w:left w:val="single" w:color="231F20" w:sz="6" w:space="0"/>
            </w:tcBorders>
            <w:noWrap w:val="0"/>
            <w:vAlign w:val="center"/>
          </w:tcPr>
          <w:p>
            <w:pPr>
              <w:spacing w:line="340" w:lineRule="exact"/>
              <w:jc w:val="center"/>
              <w:rPr>
                <w:sz w:val="24"/>
              </w:rPr>
            </w:pPr>
            <w:r>
              <w:rPr>
                <w:sz w:val="24"/>
              </w:rPr>
              <w:t>5</w:t>
            </w:r>
          </w:p>
        </w:tc>
        <w:tc>
          <w:tcPr>
            <w:tcW w:w="2482" w:type="dxa"/>
            <w:noWrap w:val="0"/>
            <w:vAlign w:val="center"/>
          </w:tcPr>
          <w:p>
            <w:pPr>
              <w:spacing w:line="340" w:lineRule="exact"/>
              <w:jc w:val="center"/>
              <w:rPr>
                <w:color w:val="auto"/>
                <w:sz w:val="24"/>
              </w:rPr>
            </w:pPr>
            <w:r>
              <w:rPr>
                <w:color w:val="auto"/>
                <w:sz w:val="24"/>
              </w:rPr>
              <w:t>相关</w:t>
            </w:r>
            <w:r>
              <w:rPr>
                <w:rFonts w:hint="eastAsia"/>
                <w:color w:val="auto"/>
                <w:sz w:val="24"/>
                <w:lang w:val="en-US" w:eastAsia="zh-CN"/>
              </w:rPr>
              <w:t>职能部门及</w:t>
            </w:r>
            <w:r>
              <w:rPr>
                <w:color w:val="auto"/>
                <w:sz w:val="24"/>
              </w:rPr>
              <w:t>行业主管部门</w:t>
            </w:r>
          </w:p>
        </w:tc>
        <w:tc>
          <w:tcPr>
            <w:tcW w:w="9723" w:type="dxa"/>
            <w:noWrap w:val="0"/>
            <w:vAlign w:val="center"/>
          </w:tcPr>
          <w:p>
            <w:pPr>
              <w:spacing w:line="340" w:lineRule="exact"/>
              <w:rPr>
                <w:color w:val="auto"/>
                <w:sz w:val="24"/>
              </w:rPr>
            </w:pPr>
            <w:r>
              <w:rPr>
                <w:rFonts w:hint="eastAsia"/>
                <w:color w:val="auto"/>
                <w:sz w:val="24"/>
                <w:lang w:val="en-US" w:eastAsia="zh-CN"/>
              </w:rPr>
              <w:t>按各自办理相关手续并</w:t>
            </w:r>
            <w:r>
              <w:rPr>
                <w:color w:val="auto"/>
                <w:sz w:val="24"/>
              </w:rPr>
              <w:t>按专业分工对项目建设过程实施行业监督管理。</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37" w:hRule="atLeast"/>
          <w:jc w:val="center"/>
        </w:trPr>
        <w:tc>
          <w:tcPr>
            <w:tcW w:w="675" w:type="dxa"/>
            <w:tcBorders>
              <w:left w:val="single" w:color="231F20" w:sz="6" w:space="0"/>
            </w:tcBorders>
            <w:noWrap w:val="0"/>
            <w:vAlign w:val="center"/>
          </w:tcPr>
          <w:p>
            <w:pPr>
              <w:spacing w:line="340" w:lineRule="exact"/>
              <w:jc w:val="center"/>
              <w:rPr>
                <w:sz w:val="24"/>
              </w:rPr>
            </w:pPr>
            <w:r>
              <w:rPr>
                <w:sz w:val="24"/>
              </w:rPr>
              <w:t>6</w:t>
            </w:r>
          </w:p>
        </w:tc>
        <w:tc>
          <w:tcPr>
            <w:tcW w:w="2482" w:type="dxa"/>
            <w:noWrap w:val="0"/>
            <w:vAlign w:val="center"/>
          </w:tcPr>
          <w:p>
            <w:pPr>
              <w:spacing w:line="340" w:lineRule="exact"/>
              <w:jc w:val="center"/>
              <w:rPr>
                <w:sz w:val="24"/>
              </w:rPr>
            </w:pPr>
            <w:r>
              <w:rPr>
                <w:sz w:val="24"/>
              </w:rPr>
              <w:t>市审计部门</w:t>
            </w:r>
          </w:p>
        </w:tc>
        <w:tc>
          <w:tcPr>
            <w:tcW w:w="9723" w:type="dxa"/>
            <w:noWrap w:val="0"/>
            <w:vAlign w:val="center"/>
          </w:tcPr>
          <w:p>
            <w:pPr>
              <w:spacing w:line="340" w:lineRule="exact"/>
              <w:rPr>
                <w:sz w:val="24"/>
              </w:rPr>
            </w:pPr>
            <w:r>
              <w:rPr>
                <w:sz w:val="24"/>
              </w:rPr>
              <w:t>（一）依法对项目的总预算或者概算的执行情况、年度预算的执行情况和年度决算、单项工程结算、项目竣工决算进行审计监督，对与项目相关的勘察、设计、招标投标、施工、供货、监理、咨询等单位、个人取得项目资金的真实性、合法性进行调查；</w:t>
            </w:r>
          </w:p>
          <w:p>
            <w:pPr>
              <w:spacing w:line="340" w:lineRule="exact"/>
              <w:rPr>
                <w:sz w:val="24"/>
              </w:rPr>
            </w:pPr>
            <w:r>
              <w:rPr>
                <w:sz w:val="24"/>
              </w:rPr>
              <w:t>（二）</w:t>
            </w:r>
            <w:r>
              <w:rPr>
                <w:rFonts w:hint="eastAsia"/>
                <w:color w:val="auto"/>
                <w:sz w:val="24"/>
                <w:lang w:val="en-US" w:eastAsia="zh-CN"/>
              </w:rPr>
              <w:t>依法</w:t>
            </w:r>
            <w:r>
              <w:rPr>
                <w:color w:val="auto"/>
                <w:sz w:val="24"/>
              </w:rPr>
              <w:t>对</w:t>
            </w:r>
            <w:r>
              <w:rPr>
                <w:sz w:val="24"/>
              </w:rPr>
              <w:t>项目建设、运营情况进行审计监督。</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1" w:hRule="atLeast"/>
          <w:jc w:val="center"/>
        </w:trPr>
        <w:tc>
          <w:tcPr>
            <w:tcW w:w="675" w:type="dxa"/>
            <w:tcBorders>
              <w:left w:val="single" w:color="231F20" w:sz="6" w:space="0"/>
            </w:tcBorders>
            <w:noWrap w:val="0"/>
            <w:vAlign w:val="center"/>
          </w:tcPr>
          <w:p>
            <w:pPr>
              <w:spacing w:line="340" w:lineRule="exact"/>
              <w:jc w:val="center"/>
              <w:rPr>
                <w:sz w:val="24"/>
              </w:rPr>
            </w:pPr>
            <w:r>
              <w:rPr>
                <w:sz w:val="24"/>
              </w:rPr>
              <w:t>7</w:t>
            </w:r>
          </w:p>
        </w:tc>
        <w:tc>
          <w:tcPr>
            <w:tcW w:w="2482" w:type="dxa"/>
            <w:noWrap w:val="0"/>
            <w:vAlign w:val="center"/>
          </w:tcPr>
          <w:p>
            <w:pPr>
              <w:spacing w:line="340" w:lineRule="exact"/>
              <w:jc w:val="center"/>
              <w:rPr>
                <w:rFonts w:hint="default" w:eastAsia="宋体"/>
                <w:color w:val="auto"/>
                <w:sz w:val="24"/>
                <w:lang w:val="en-US" w:eastAsia="zh-CN"/>
              </w:rPr>
            </w:pPr>
            <w:r>
              <w:rPr>
                <w:rFonts w:hint="eastAsia"/>
                <w:color w:val="auto"/>
                <w:sz w:val="24"/>
                <w:lang w:val="en-US" w:eastAsia="zh-CN"/>
              </w:rPr>
              <w:t>监察机关</w:t>
            </w:r>
          </w:p>
        </w:tc>
        <w:tc>
          <w:tcPr>
            <w:tcW w:w="9723" w:type="dxa"/>
            <w:noWrap w:val="0"/>
            <w:vAlign w:val="center"/>
          </w:tcPr>
          <w:p>
            <w:pPr>
              <w:spacing w:line="380" w:lineRule="exact"/>
              <w:rPr>
                <w:rFonts w:hint="default" w:eastAsia="宋体"/>
                <w:color w:val="auto"/>
                <w:sz w:val="24"/>
                <w:lang w:val="en-US" w:eastAsia="zh-CN"/>
              </w:rPr>
            </w:pPr>
            <w:r>
              <w:rPr>
                <w:rFonts w:hint="eastAsia"/>
                <w:color w:val="auto"/>
                <w:sz w:val="24"/>
                <w:lang w:val="en-US" w:eastAsia="zh-CN"/>
              </w:rPr>
              <w:t>对有关部门履行项目管理中依法守纪、廉洁自律等情况进行监督。</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3" w:hRule="atLeast"/>
          <w:jc w:val="center"/>
        </w:trPr>
        <w:tc>
          <w:tcPr>
            <w:tcW w:w="675" w:type="dxa"/>
            <w:tcBorders>
              <w:left w:val="single" w:color="231F20" w:sz="6" w:space="0"/>
            </w:tcBorders>
            <w:noWrap w:val="0"/>
            <w:vAlign w:val="center"/>
          </w:tcPr>
          <w:p>
            <w:pPr>
              <w:spacing w:line="320" w:lineRule="exact"/>
              <w:jc w:val="center"/>
              <w:rPr>
                <w:sz w:val="24"/>
              </w:rPr>
            </w:pPr>
            <w:r>
              <w:rPr>
                <w:sz w:val="24"/>
              </w:rPr>
              <w:t>8</w:t>
            </w:r>
          </w:p>
        </w:tc>
        <w:tc>
          <w:tcPr>
            <w:tcW w:w="2482" w:type="dxa"/>
            <w:noWrap w:val="0"/>
            <w:vAlign w:val="center"/>
          </w:tcPr>
          <w:p>
            <w:pPr>
              <w:spacing w:line="320" w:lineRule="exact"/>
              <w:jc w:val="center"/>
              <w:rPr>
                <w:sz w:val="24"/>
              </w:rPr>
            </w:pPr>
            <w:r>
              <w:rPr>
                <w:sz w:val="24"/>
              </w:rPr>
              <w:t>市代建管理机构</w:t>
            </w:r>
          </w:p>
        </w:tc>
        <w:tc>
          <w:tcPr>
            <w:tcW w:w="9723" w:type="dxa"/>
            <w:noWrap w:val="0"/>
            <w:vAlign w:val="center"/>
          </w:tcPr>
          <w:p>
            <w:pPr>
              <w:spacing w:line="380" w:lineRule="exact"/>
              <w:rPr>
                <w:sz w:val="24"/>
              </w:rPr>
            </w:pPr>
            <w:r>
              <w:rPr>
                <w:sz w:val="24"/>
              </w:rPr>
              <w:t>（一）组织初步设计及概算、施工图设计文件的编制及报审，审查项目（仅限房屋建筑和市政类）建议书、可行性研究报告，协助使用单位开展项目土地确权、规划调整、办理有关报建报批手续，固定资产确权；</w:t>
            </w:r>
          </w:p>
          <w:p>
            <w:pPr>
              <w:spacing w:line="380" w:lineRule="exact"/>
              <w:rPr>
                <w:sz w:val="24"/>
              </w:rPr>
            </w:pPr>
            <w:r>
              <w:rPr>
                <w:sz w:val="24"/>
              </w:rPr>
              <w:t>（二）制订项目工作方案、工作计划和项目管理目标；</w:t>
            </w:r>
          </w:p>
          <w:p>
            <w:pPr>
              <w:spacing w:line="380" w:lineRule="exact"/>
              <w:rPr>
                <w:sz w:val="24"/>
              </w:rPr>
            </w:pPr>
            <w:r>
              <w:rPr>
                <w:sz w:val="24"/>
              </w:rPr>
              <w:t>（三）负责工程勘察、设计、施工、监理单位和重要设备、材料等货物供应单位招标，并对项目建设期间参建单位履行职责情况进行全过程监督管理；</w:t>
            </w:r>
          </w:p>
          <w:p>
            <w:pPr>
              <w:spacing w:line="380" w:lineRule="exact"/>
              <w:rPr>
                <w:sz w:val="24"/>
              </w:rPr>
            </w:pPr>
            <w:r>
              <w:rPr>
                <w:sz w:val="24"/>
              </w:rPr>
              <w:t>（四）负责项目建设过程中的投资控制、质量安全、工期进度、信息档案等管理，按照批准的建设内容、建设期限以及使用单位确认的使用需求和使用功能配置要求等组织实施项目建设，组织项目的中间验收、</w:t>
            </w:r>
            <w:r>
              <w:rPr>
                <w:rFonts w:hint="eastAsia"/>
                <w:sz w:val="24"/>
                <w:lang w:val="en-US" w:eastAsia="zh-CN"/>
              </w:rPr>
              <w:t>协助办理</w:t>
            </w:r>
            <w:r>
              <w:rPr>
                <w:sz w:val="24"/>
              </w:rPr>
              <w:t>竣工验收、</w:t>
            </w:r>
            <w:r>
              <w:rPr>
                <w:rFonts w:hint="eastAsia"/>
                <w:sz w:val="24"/>
                <w:lang w:val="en-US" w:eastAsia="zh-CN"/>
              </w:rPr>
              <w:t>办理</w:t>
            </w:r>
            <w:r>
              <w:rPr>
                <w:sz w:val="24"/>
              </w:rPr>
              <w:t>项目使用移交等；</w:t>
            </w:r>
          </w:p>
          <w:p>
            <w:pPr>
              <w:spacing w:line="380" w:lineRule="exact"/>
              <w:rPr>
                <w:sz w:val="24"/>
              </w:rPr>
            </w:pPr>
            <w:r>
              <w:rPr>
                <w:sz w:val="24"/>
              </w:rPr>
              <w:t>（五）编制项目年度投资计划和协助使用单位编制年度基建支出预算；</w:t>
            </w:r>
          </w:p>
          <w:p>
            <w:pPr>
              <w:spacing w:line="380" w:lineRule="exact"/>
              <w:rPr>
                <w:sz w:val="24"/>
              </w:rPr>
            </w:pPr>
            <w:r>
              <w:rPr>
                <w:sz w:val="24"/>
              </w:rPr>
              <w:t>（六）对参建单位的资金拨付申请提出审核意见；</w:t>
            </w:r>
          </w:p>
          <w:p>
            <w:pPr>
              <w:spacing w:line="380" w:lineRule="exact"/>
              <w:rPr>
                <w:sz w:val="24"/>
              </w:rPr>
            </w:pPr>
            <w:r>
              <w:rPr>
                <w:sz w:val="24"/>
              </w:rPr>
              <w:t>（七）编制项目竣工工程结算、</w:t>
            </w:r>
            <w:r>
              <w:rPr>
                <w:rFonts w:hint="eastAsia"/>
                <w:sz w:val="24"/>
                <w:lang w:val="en-US" w:eastAsia="zh-CN"/>
              </w:rPr>
              <w:t>协助使用单位办理</w:t>
            </w:r>
            <w:r>
              <w:rPr>
                <w:sz w:val="24"/>
              </w:rPr>
              <w:t>竣工财务决算，办理资产移交手续；</w:t>
            </w:r>
          </w:p>
          <w:p>
            <w:pPr>
              <w:spacing w:line="380" w:lineRule="exact"/>
              <w:rPr>
                <w:sz w:val="24"/>
              </w:rPr>
            </w:pPr>
            <w:r>
              <w:rPr>
                <w:sz w:val="24"/>
              </w:rPr>
              <w:t>（八）负责项目保修期保修管理工作，及时响应使用单位反馈的维保问题，协调参建单位落实整改；</w:t>
            </w:r>
          </w:p>
          <w:p>
            <w:pPr>
              <w:spacing w:line="380" w:lineRule="exact"/>
              <w:rPr>
                <w:sz w:val="24"/>
              </w:rPr>
            </w:pPr>
            <w:r>
              <w:rPr>
                <w:sz w:val="24"/>
              </w:rPr>
              <w:t>（九）负责评价参建单位的合同履行情况，对项目规范运行和资金使用情况实施经常性的内部审计；</w:t>
            </w:r>
          </w:p>
          <w:p>
            <w:pPr>
              <w:pStyle w:val="2"/>
              <w:widowControl w:val="0"/>
              <w:spacing w:before="0" w:beforeAutospacing="0" w:after="0" w:afterAutospacing="0" w:line="380" w:lineRule="exact"/>
              <w:rPr>
                <w:rFonts w:ascii="Times New Roman" w:hAnsi="Times New Roman" w:cs="Times New Roman"/>
                <w:b w:val="0"/>
                <w:bCs w:val="0"/>
                <w:sz w:val="24"/>
                <w:szCs w:val="24"/>
              </w:rPr>
            </w:pPr>
            <w:r>
              <w:rPr>
                <w:rFonts w:ascii="Times New Roman" w:hAnsi="Times New Roman" w:cs="Times New Roman"/>
                <w:b w:val="0"/>
                <w:bCs w:val="0"/>
                <w:sz w:val="24"/>
                <w:szCs w:val="24"/>
              </w:rPr>
              <w:t>（十）落实工程进度报告制度，定期向市发展改革、财政等相关部门和使用单位报告项目进展、预算执行情况，将项目建设过程中发现的违法违规行为及时报告并提请有关行政主管部门处理。</w:t>
            </w:r>
          </w:p>
        </w:tc>
        <w:tc>
          <w:tcPr>
            <w:tcW w:w="1571" w:type="dxa"/>
            <w:tcBorders>
              <w:right w:val="single" w:color="231F20" w:sz="6" w:space="0"/>
            </w:tcBorders>
            <w:noWrap w:val="0"/>
            <w:vAlign w:val="center"/>
          </w:tcPr>
          <w:p>
            <w:pPr>
              <w:spacing w:line="320" w:lineRule="exact"/>
              <w:rPr>
                <w:sz w:val="24"/>
              </w:rPr>
            </w:pPr>
            <w:r>
              <w:rPr>
                <w:sz w:val="24"/>
              </w:rPr>
              <w:t>采用集中建设管理</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14" w:hRule="atLeast"/>
          <w:jc w:val="center"/>
        </w:trPr>
        <w:tc>
          <w:tcPr>
            <w:tcW w:w="675" w:type="dxa"/>
            <w:tcBorders>
              <w:left w:val="single" w:color="231F20" w:sz="6" w:space="0"/>
            </w:tcBorders>
            <w:noWrap w:val="0"/>
            <w:vAlign w:val="center"/>
          </w:tcPr>
          <w:p>
            <w:pPr>
              <w:spacing w:line="360" w:lineRule="exact"/>
              <w:jc w:val="center"/>
              <w:rPr>
                <w:sz w:val="24"/>
              </w:rPr>
            </w:pPr>
            <w:r>
              <w:rPr>
                <w:sz w:val="24"/>
              </w:rPr>
              <w:t>8</w:t>
            </w:r>
          </w:p>
        </w:tc>
        <w:tc>
          <w:tcPr>
            <w:tcW w:w="2482" w:type="dxa"/>
            <w:noWrap w:val="0"/>
            <w:vAlign w:val="center"/>
          </w:tcPr>
          <w:p>
            <w:pPr>
              <w:spacing w:line="360" w:lineRule="exact"/>
              <w:jc w:val="center"/>
              <w:rPr>
                <w:sz w:val="24"/>
              </w:rPr>
            </w:pPr>
            <w:r>
              <w:rPr>
                <w:sz w:val="24"/>
              </w:rPr>
              <w:t>市代建管理机构</w:t>
            </w:r>
          </w:p>
        </w:tc>
        <w:tc>
          <w:tcPr>
            <w:tcW w:w="9723" w:type="dxa"/>
            <w:noWrap w:val="0"/>
            <w:vAlign w:val="center"/>
          </w:tcPr>
          <w:p>
            <w:pPr>
              <w:adjustRightInd w:val="0"/>
              <w:snapToGrid w:val="0"/>
              <w:spacing w:line="360" w:lineRule="exact"/>
              <w:textAlignment w:val="baseline"/>
              <w:rPr>
                <w:sz w:val="24"/>
              </w:rPr>
            </w:pPr>
            <w:r>
              <w:rPr>
                <w:sz w:val="24"/>
              </w:rPr>
              <w:t>（一）依照法律、法规组织开展代建单位的招标工作，对代建单位的中标结果进行确认；</w:t>
            </w:r>
          </w:p>
          <w:p>
            <w:pPr>
              <w:adjustRightInd w:val="0"/>
              <w:snapToGrid w:val="0"/>
              <w:spacing w:line="360" w:lineRule="exact"/>
              <w:textAlignment w:val="baseline"/>
              <w:rPr>
                <w:sz w:val="24"/>
              </w:rPr>
            </w:pPr>
            <w:r>
              <w:rPr>
                <w:sz w:val="24"/>
              </w:rPr>
              <w:t>（二）与代建单位签订项目代建合同，并依法履行合同；</w:t>
            </w:r>
          </w:p>
          <w:p>
            <w:pPr>
              <w:adjustRightInd w:val="0"/>
              <w:snapToGrid w:val="0"/>
              <w:spacing w:line="360" w:lineRule="exact"/>
              <w:textAlignment w:val="baseline"/>
              <w:rPr>
                <w:sz w:val="24"/>
              </w:rPr>
            </w:pPr>
            <w:r>
              <w:rPr>
                <w:sz w:val="24"/>
              </w:rPr>
              <w:t>（三）协调代建单位和使用单位关系，定期向市发展改革、财政等相关部门和使用单位报告项目进展、预算执行情况，将项目建设过程中发现的违法违规行为及时报告并提请有关行政主管部门处理。</w:t>
            </w:r>
          </w:p>
          <w:p>
            <w:pPr>
              <w:adjustRightInd w:val="0"/>
              <w:snapToGrid w:val="0"/>
              <w:spacing w:line="360" w:lineRule="exact"/>
              <w:textAlignment w:val="baseline"/>
              <w:rPr>
                <w:sz w:val="24"/>
              </w:rPr>
            </w:pPr>
            <w:r>
              <w:rPr>
                <w:sz w:val="24"/>
              </w:rPr>
              <w:t>（四）审查代建单位编制的项目年度投资计划和年度基建支出预算；</w:t>
            </w:r>
          </w:p>
          <w:p>
            <w:pPr>
              <w:adjustRightInd w:val="0"/>
              <w:snapToGrid w:val="0"/>
              <w:spacing w:line="360" w:lineRule="exact"/>
              <w:textAlignment w:val="baseline"/>
              <w:rPr>
                <w:sz w:val="24"/>
              </w:rPr>
            </w:pPr>
            <w:r>
              <w:rPr>
                <w:sz w:val="24"/>
              </w:rPr>
              <w:t>（五）</w:t>
            </w:r>
            <w:r>
              <w:rPr>
                <w:rFonts w:hint="eastAsia"/>
                <w:sz w:val="24"/>
                <w:lang w:val="en-US" w:eastAsia="zh-CN"/>
              </w:rPr>
              <w:t>协助使用单位</w:t>
            </w:r>
            <w:r>
              <w:rPr>
                <w:sz w:val="24"/>
              </w:rPr>
              <w:t>向市发展改革部门提出项目年度投资计划申请；</w:t>
            </w:r>
          </w:p>
          <w:p>
            <w:pPr>
              <w:adjustRightInd w:val="0"/>
              <w:snapToGrid w:val="0"/>
              <w:spacing w:line="360" w:lineRule="exact"/>
              <w:textAlignment w:val="baseline"/>
              <w:rPr>
                <w:sz w:val="24"/>
              </w:rPr>
            </w:pPr>
            <w:r>
              <w:rPr>
                <w:sz w:val="24"/>
              </w:rPr>
              <w:t>（六）对代建单位的资金拨付申请提出审查意见；</w:t>
            </w:r>
          </w:p>
          <w:p>
            <w:pPr>
              <w:spacing w:line="360" w:lineRule="exact"/>
              <w:rPr>
                <w:sz w:val="24"/>
              </w:rPr>
            </w:pPr>
            <w:r>
              <w:rPr>
                <w:sz w:val="24"/>
              </w:rPr>
              <w:t>（七）参与工程竣工验收，组织资产移交。</w:t>
            </w:r>
          </w:p>
        </w:tc>
        <w:tc>
          <w:tcPr>
            <w:tcW w:w="1571" w:type="dxa"/>
            <w:tcBorders>
              <w:right w:val="single" w:color="231F20" w:sz="6" w:space="0"/>
            </w:tcBorders>
            <w:noWrap w:val="0"/>
            <w:vAlign w:val="center"/>
          </w:tcPr>
          <w:p>
            <w:pPr>
              <w:spacing w:line="340" w:lineRule="exact"/>
              <w:rPr>
                <w:sz w:val="24"/>
              </w:rPr>
            </w:pPr>
            <w:r>
              <w:rPr>
                <w:sz w:val="24"/>
              </w:rPr>
              <w:t>采用市场化代建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5" w:hRule="atLeast"/>
          <w:jc w:val="center"/>
        </w:trPr>
        <w:tc>
          <w:tcPr>
            <w:tcW w:w="675" w:type="dxa"/>
            <w:tcBorders>
              <w:left w:val="single" w:color="231F20" w:sz="6" w:space="0"/>
            </w:tcBorders>
            <w:noWrap w:val="0"/>
            <w:vAlign w:val="center"/>
          </w:tcPr>
          <w:p>
            <w:pPr>
              <w:spacing w:line="360" w:lineRule="exact"/>
              <w:jc w:val="center"/>
              <w:rPr>
                <w:sz w:val="24"/>
              </w:rPr>
            </w:pPr>
            <w:r>
              <w:rPr>
                <w:sz w:val="24"/>
              </w:rPr>
              <w:t>9</w:t>
            </w:r>
          </w:p>
        </w:tc>
        <w:tc>
          <w:tcPr>
            <w:tcW w:w="2482" w:type="dxa"/>
            <w:noWrap w:val="0"/>
            <w:vAlign w:val="center"/>
          </w:tcPr>
          <w:p>
            <w:pPr>
              <w:spacing w:line="360" w:lineRule="exact"/>
              <w:jc w:val="center"/>
              <w:rPr>
                <w:sz w:val="24"/>
              </w:rPr>
            </w:pPr>
            <w:r>
              <w:rPr>
                <w:sz w:val="24"/>
              </w:rPr>
              <w:t>参建单位</w:t>
            </w:r>
          </w:p>
        </w:tc>
        <w:tc>
          <w:tcPr>
            <w:tcW w:w="9723" w:type="dxa"/>
            <w:noWrap w:val="0"/>
            <w:vAlign w:val="center"/>
          </w:tcPr>
          <w:p>
            <w:pPr>
              <w:spacing w:line="360" w:lineRule="exact"/>
              <w:rPr>
                <w:sz w:val="24"/>
              </w:rPr>
            </w:pPr>
            <w:r>
              <w:rPr>
                <w:sz w:val="24"/>
              </w:rPr>
              <w:t>（一）负责依法依规履行参建单位相关建设职责；</w:t>
            </w:r>
          </w:p>
          <w:p>
            <w:pPr>
              <w:spacing w:line="360" w:lineRule="exact"/>
              <w:rPr>
                <w:sz w:val="24"/>
              </w:rPr>
            </w:pPr>
            <w:r>
              <w:rPr>
                <w:sz w:val="24"/>
              </w:rPr>
              <w:t>（二）负责依照合同履行各项义务，开展项目建设相关工作，确保实现合同质量、安全、投资、进度等管理目标；</w:t>
            </w:r>
          </w:p>
          <w:p>
            <w:pPr>
              <w:spacing w:line="360" w:lineRule="exact"/>
              <w:rPr>
                <w:sz w:val="24"/>
              </w:rPr>
            </w:pPr>
            <w:r>
              <w:rPr>
                <w:sz w:val="24"/>
              </w:rPr>
              <w:t>（三）负责按照合同约定向项目建设单位提出资金拨付申请，确保建设资金专款专用；</w:t>
            </w:r>
          </w:p>
          <w:p>
            <w:pPr>
              <w:spacing w:line="360" w:lineRule="exact"/>
              <w:rPr>
                <w:sz w:val="24"/>
              </w:rPr>
            </w:pPr>
            <w:r>
              <w:rPr>
                <w:sz w:val="24"/>
              </w:rPr>
              <w:t>（四）负责相关工程技术资料和档案整理，并按规定移交项目建设单位或使用单位；</w:t>
            </w:r>
          </w:p>
          <w:p>
            <w:pPr>
              <w:spacing w:line="360" w:lineRule="exact"/>
              <w:rPr>
                <w:sz w:val="24"/>
              </w:rPr>
            </w:pPr>
            <w:r>
              <w:rPr>
                <w:sz w:val="24"/>
              </w:rPr>
              <w:t>（五）负责定期向项目建设单位报告进展情况。</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91" w:hRule="atLeast"/>
          <w:jc w:val="center"/>
        </w:trPr>
        <w:tc>
          <w:tcPr>
            <w:tcW w:w="675" w:type="dxa"/>
            <w:tcBorders>
              <w:left w:val="single" w:color="231F20" w:sz="6" w:space="0"/>
            </w:tcBorders>
            <w:noWrap w:val="0"/>
            <w:vAlign w:val="center"/>
          </w:tcPr>
          <w:p>
            <w:pPr>
              <w:spacing w:line="360" w:lineRule="exact"/>
              <w:jc w:val="center"/>
              <w:rPr>
                <w:sz w:val="24"/>
              </w:rPr>
            </w:pPr>
            <w:r>
              <w:rPr>
                <w:sz w:val="24"/>
              </w:rPr>
              <w:t>10</w:t>
            </w:r>
          </w:p>
        </w:tc>
        <w:tc>
          <w:tcPr>
            <w:tcW w:w="2482" w:type="dxa"/>
            <w:noWrap w:val="0"/>
            <w:vAlign w:val="center"/>
          </w:tcPr>
          <w:p>
            <w:pPr>
              <w:spacing w:line="360" w:lineRule="exact"/>
              <w:jc w:val="center"/>
              <w:rPr>
                <w:sz w:val="24"/>
              </w:rPr>
            </w:pPr>
            <w:r>
              <w:rPr>
                <w:sz w:val="24"/>
              </w:rPr>
              <w:t>市场化代建单位</w:t>
            </w:r>
          </w:p>
        </w:tc>
        <w:tc>
          <w:tcPr>
            <w:tcW w:w="9723" w:type="dxa"/>
            <w:noWrap w:val="0"/>
            <w:vAlign w:val="center"/>
          </w:tcPr>
          <w:p>
            <w:pPr>
              <w:spacing w:line="360" w:lineRule="exact"/>
              <w:rPr>
                <w:sz w:val="24"/>
              </w:rPr>
            </w:pPr>
            <w:r>
              <w:rPr>
                <w:sz w:val="24"/>
              </w:rPr>
              <w:t>（一）组织项目可行性研究报告、初步设计及概算、施工图设计文件的编制及报审，办理有关报建报批手续，协助使用单位开展项目土地确权、规划调整、固定资产确权；</w:t>
            </w:r>
          </w:p>
          <w:p>
            <w:pPr>
              <w:spacing w:line="360" w:lineRule="exact"/>
              <w:rPr>
                <w:sz w:val="24"/>
              </w:rPr>
            </w:pPr>
            <w:r>
              <w:rPr>
                <w:sz w:val="24"/>
              </w:rPr>
              <w:t>（二）制订项目工作方案、工作计划和项目管理目标；</w:t>
            </w:r>
          </w:p>
          <w:p>
            <w:pPr>
              <w:spacing w:line="360" w:lineRule="exact"/>
              <w:rPr>
                <w:sz w:val="24"/>
              </w:rPr>
            </w:pPr>
            <w:r>
              <w:rPr>
                <w:sz w:val="24"/>
              </w:rPr>
              <w:t>（三）负责工程勘察、设计、施工、监理单位和重要设备、材料等货物供应单位招标，并将招标投标情况和中标通知书报项目建设单位备案；</w:t>
            </w:r>
          </w:p>
          <w:p>
            <w:pPr>
              <w:spacing w:line="360" w:lineRule="exact"/>
              <w:rPr>
                <w:sz w:val="24"/>
              </w:rPr>
            </w:pPr>
            <w:r>
              <w:rPr>
                <w:sz w:val="24"/>
              </w:rPr>
              <w:t>（四）负责工程合同的洽谈与签订；</w:t>
            </w:r>
          </w:p>
          <w:p>
            <w:pPr>
              <w:spacing w:line="360" w:lineRule="exact"/>
              <w:rPr>
                <w:sz w:val="24"/>
              </w:rPr>
            </w:pPr>
            <w:r>
              <w:rPr>
                <w:sz w:val="24"/>
              </w:rPr>
              <w:t>（五）编制项目年度投资计划和年度基建支出预算，报送项目建设单位和使用单位；</w:t>
            </w:r>
          </w:p>
          <w:p>
            <w:pPr>
              <w:spacing w:line="360" w:lineRule="exact"/>
              <w:rPr>
                <w:sz w:val="24"/>
              </w:rPr>
            </w:pPr>
            <w:r>
              <w:rPr>
                <w:sz w:val="24"/>
              </w:rPr>
              <w:t>（六）按照市发展改革部门下达的投资计划和市财政部门批准的年度基建支出预算，提出项目拨款申请送项目建设单位审查后报市财政部门；编制项目年度财务决算报表，并按月向市财政部门、项目建设单位及使用单位报送工程进度和资金使用情况；</w:t>
            </w:r>
          </w:p>
          <w:p>
            <w:pPr>
              <w:spacing w:line="360" w:lineRule="exact"/>
              <w:rPr>
                <w:sz w:val="24"/>
              </w:rPr>
            </w:pPr>
            <w:r>
              <w:rPr>
                <w:sz w:val="24"/>
              </w:rPr>
              <w:t>（七）组织工程中间验收和竣工验收，并将验收结果报告项目建设单位；</w:t>
            </w:r>
          </w:p>
          <w:p>
            <w:pPr>
              <w:spacing w:line="360" w:lineRule="exact"/>
              <w:rPr>
                <w:sz w:val="24"/>
              </w:rPr>
            </w:pPr>
            <w:r>
              <w:rPr>
                <w:sz w:val="24"/>
              </w:rPr>
              <w:t>（八）编制项目竣工工程结算、竣工财务决算，经项目建设单位审查后报市财政部门或项目使用单位主管部门审批。负责办理资产移交手续；</w:t>
            </w:r>
          </w:p>
          <w:p>
            <w:pPr>
              <w:pStyle w:val="2"/>
              <w:widowControl w:val="0"/>
              <w:spacing w:before="0" w:beforeAutospacing="0" w:after="0" w:afterAutospacing="0" w:line="36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（九）负责项目保修期保修管理工作，及时响应使用单位反馈的维保问题，落实整改。</w:t>
            </w:r>
          </w:p>
        </w:tc>
        <w:tc>
          <w:tcPr>
            <w:tcW w:w="1571" w:type="dxa"/>
            <w:tcBorders>
              <w:right w:val="single" w:color="231F20" w:sz="6" w:space="0"/>
            </w:tcBorders>
            <w:noWrap w:val="0"/>
            <w:vAlign w:val="center"/>
          </w:tcPr>
          <w:p>
            <w:pPr>
              <w:spacing w:line="340" w:lineRule="exact"/>
              <w:rPr>
                <w:sz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7" w:hRule="atLeast"/>
          <w:jc w:val="center"/>
        </w:trPr>
        <w:tc>
          <w:tcPr>
            <w:tcW w:w="675" w:type="dxa"/>
            <w:tcBorders>
              <w:left w:val="single" w:color="231F20" w:sz="6" w:space="0"/>
            </w:tcBorders>
            <w:noWrap w:val="0"/>
            <w:vAlign w:val="center"/>
          </w:tcPr>
          <w:p>
            <w:pPr>
              <w:spacing w:line="360" w:lineRule="exact"/>
              <w:jc w:val="center"/>
              <w:rPr>
                <w:sz w:val="24"/>
              </w:rPr>
            </w:pPr>
            <w:r>
              <w:rPr>
                <w:sz w:val="24"/>
              </w:rPr>
              <w:t>11</w:t>
            </w:r>
          </w:p>
        </w:tc>
        <w:tc>
          <w:tcPr>
            <w:tcW w:w="2482" w:type="dxa"/>
            <w:noWrap w:val="0"/>
            <w:vAlign w:val="center"/>
          </w:tcPr>
          <w:p>
            <w:pPr>
              <w:spacing w:line="360" w:lineRule="exact"/>
              <w:jc w:val="center"/>
              <w:rPr>
                <w:sz w:val="24"/>
              </w:rPr>
            </w:pPr>
            <w:r>
              <w:rPr>
                <w:sz w:val="24"/>
              </w:rPr>
              <w:t>项目使用单位</w:t>
            </w:r>
          </w:p>
        </w:tc>
        <w:tc>
          <w:tcPr>
            <w:tcW w:w="9723" w:type="dxa"/>
            <w:noWrap w:val="0"/>
            <w:vAlign w:val="center"/>
          </w:tcPr>
          <w:p>
            <w:pPr>
              <w:spacing w:line="360" w:lineRule="exact"/>
              <w:rPr>
                <w:sz w:val="24"/>
              </w:rPr>
            </w:pPr>
            <w:r>
              <w:rPr>
                <w:sz w:val="24"/>
              </w:rPr>
              <w:t>（一）组织编制项目建议书，按程序报市发展改革部门。按照国家、省和市有关规定可简化报批文件和优化流程的项目，直接编报可行性研究报告；</w:t>
            </w:r>
          </w:p>
          <w:p>
            <w:pPr>
              <w:spacing w:line="360" w:lineRule="exact"/>
              <w:rPr>
                <w:sz w:val="24"/>
              </w:rPr>
            </w:pPr>
            <w:r>
              <w:rPr>
                <w:sz w:val="24"/>
              </w:rPr>
              <w:t>（二）根据经批准的项目建议书确定的建设规模和总投资额，在可行性研究阶段提出并确认项目使用需求，在方案设计阶段确认建筑设计方案，在初步设计阶段、施工图设计阶段按照批复的建设规模、内容和投资提出并确认具体的使用功能配置要求，明确项目使用的绩效目标；</w:t>
            </w:r>
          </w:p>
          <w:p>
            <w:pPr>
              <w:spacing w:line="360" w:lineRule="exact"/>
              <w:rPr>
                <w:sz w:val="24"/>
              </w:rPr>
            </w:pPr>
            <w:r>
              <w:rPr>
                <w:sz w:val="24"/>
              </w:rPr>
              <w:t>（三）会</w:t>
            </w:r>
            <w:r>
              <w:rPr>
                <w:b w:val="0"/>
                <w:bCs w:val="0"/>
                <w:sz w:val="24"/>
              </w:rPr>
              <w:t>同市代建管理机构或代建单位编制项目年度基建支出预算，及时筹措自筹部分的建设资金</w:t>
            </w:r>
            <w:r>
              <w:rPr>
                <w:rFonts w:hint="eastAsia"/>
                <w:b w:val="0"/>
                <w:bCs w:val="0"/>
                <w:sz w:val="24"/>
                <w:lang w:eastAsia="zh-CN"/>
              </w:rPr>
              <w:t>、</w:t>
            </w:r>
            <w:r>
              <w:rPr>
                <w:sz w:val="24"/>
              </w:rPr>
              <w:t>编制项目年度投资计划</w:t>
            </w:r>
            <w:r>
              <w:rPr>
                <w:rFonts w:hint="eastAsia"/>
                <w:sz w:val="24"/>
                <w:lang w:eastAsia="zh-CN"/>
              </w:rPr>
              <w:t>，</w:t>
            </w:r>
            <w:r>
              <w:rPr>
                <w:rFonts w:hint="eastAsia"/>
                <w:sz w:val="24"/>
                <w:lang w:val="en-US" w:eastAsia="zh-CN"/>
              </w:rPr>
              <w:t>协助</w:t>
            </w:r>
            <w:r>
              <w:rPr>
                <w:b w:val="0"/>
                <w:bCs w:val="0"/>
                <w:sz w:val="24"/>
              </w:rPr>
              <w:t>市代建管理机构或代建单位</w:t>
            </w:r>
            <w:r>
              <w:rPr>
                <w:rFonts w:hint="eastAsia"/>
                <w:b w:val="0"/>
                <w:bCs w:val="0"/>
                <w:sz w:val="24"/>
                <w:lang w:val="en-US" w:eastAsia="zh-CN"/>
              </w:rPr>
              <w:t>办理</w:t>
            </w:r>
            <w:r>
              <w:rPr>
                <w:sz w:val="24"/>
              </w:rPr>
              <w:t>工程结算</w:t>
            </w:r>
            <w:r>
              <w:rPr>
                <w:rFonts w:hint="eastAsia"/>
                <w:sz w:val="24"/>
                <w:lang w:eastAsia="zh-CN"/>
              </w:rPr>
              <w:t>，</w:t>
            </w:r>
            <w:r>
              <w:rPr>
                <w:rFonts w:hint="eastAsia"/>
                <w:sz w:val="24"/>
                <w:lang w:val="en-US" w:eastAsia="zh-CN"/>
              </w:rPr>
              <w:t>组织</w:t>
            </w:r>
            <w:r>
              <w:rPr>
                <w:sz w:val="24"/>
              </w:rPr>
              <w:t>竣工财务决算报告；</w:t>
            </w:r>
          </w:p>
          <w:p>
            <w:pPr>
              <w:spacing w:line="360" w:lineRule="exact"/>
              <w:rPr>
                <w:sz w:val="24"/>
              </w:rPr>
            </w:pPr>
            <w:r>
              <w:rPr>
                <w:sz w:val="24"/>
              </w:rPr>
              <w:t>（四）负责项目土地确权、规划调整、固定资产确权，协助市代建管理机构或代建单位办理报建报批等有关手续；</w:t>
            </w:r>
          </w:p>
          <w:p>
            <w:pPr>
              <w:spacing w:line="360" w:lineRule="exact"/>
              <w:rPr>
                <w:sz w:val="24"/>
              </w:rPr>
            </w:pPr>
            <w:r>
              <w:rPr>
                <w:sz w:val="24"/>
              </w:rPr>
              <w:t>（五）参与审查项目的工作方案、工作计划和项目管理目标，并参与监督检查；</w:t>
            </w:r>
          </w:p>
          <w:p>
            <w:pPr>
              <w:spacing w:line="360" w:lineRule="exact"/>
              <w:rPr>
                <w:sz w:val="24"/>
              </w:rPr>
            </w:pPr>
            <w:r>
              <w:rPr>
                <w:sz w:val="24"/>
              </w:rPr>
              <w:t>（六）参与评价参建单位的合同履行情况，及时反映建设过程中存在的问题和违规行为；</w:t>
            </w:r>
          </w:p>
          <w:p>
            <w:pPr>
              <w:spacing w:line="360" w:lineRule="exact"/>
              <w:rPr>
                <w:sz w:val="24"/>
              </w:rPr>
            </w:pPr>
            <w:r>
              <w:rPr>
                <w:sz w:val="24"/>
              </w:rPr>
              <w:t>（七）参与工程中间验收、过程监督</w:t>
            </w:r>
            <w:r>
              <w:rPr>
                <w:rFonts w:hint="eastAsia"/>
                <w:sz w:val="24"/>
                <w:lang w:eastAsia="zh-CN"/>
              </w:rPr>
              <w:t>，</w:t>
            </w:r>
            <w:r>
              <w:rPr>
                <w:rFonts w:hint="eastAsia"/>
                <w:sz w:val="24"/>
                <w:lang w:val="en-US" w:eastAsia="zh-CN"/>
              </w:rPr>
              <w:t>组织</w:t>
            </w:r>
            <w:r>
              <w:rPr>
                <w:sz w:val="24"/>
              </w:rPr>
              <w:t>竣工验收，接受项目使用移交，配合市代建管理机构或代建单位做好项目保修期维护管理，及时反馈使用过程中发现的维保问题，并督促参建各方落实整改；</w:t>
            </w:r>
          </w:p>
          <w:p>
            <w:pPr>
              <w:pStyle w:val="2"/>
              <w:widowControl w:val="0"/>
              <w:spacing w:before="0" w:beforeAutospacing="0" w:after="0" w:afterAutospacing="0" w:line="36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（八）设置联络员制度，由专责工作人员协调处理项目建设中的有关事项。</w:t>
            </w:r>
          </w:p>
        </w:tc>
        <w:tc>
          <w:tcPr>
            <w:tcW w:w="1571" w:type="dxa"/>
            <w:tcBorders>
              <w:right w:val="single" w:color="231F20" w:sz="6" w:space="0"/>
            </w:tcBorders>
            <w:noWrap w:val="0"/>
            <w:vAlign w:val="center"/>
          </w:tcPr>
          <w:p>
            <w:pPr>
              <w:spacing w:line="340" w:lineRule="exact"/>
              <w:rPr>
                <w:sz w:val="24"/>
              </w:rPr>
            </w:pPr>
          </w:p>
        </w:tc>
      </w:tr>
    </w:tbl>
    <w:p>
      <w:pPr>
        <w:topLinePunct/>
        <w:rPr>
          <w:rFonts w:eastAsia="黑体"/>
          <w:sz w:val="28"/>
          <w:szCs w:val="28"/>
        </w:rPr>
      </w:pPr>
    </w:p>
    <w:p>
      <w:pPr>
        <w:topLinePunct/>
        <w:rPr>
          <w:rFonts w:eastAsia="黑体"/>
          <w:sz w:val="28"/>
          <w:szCs w:val="28"/>
        </w:rPr>
        <w:sectPr>
          <w:headerReference r:id="rId5" w:type="default"/>
          <w:footerReference r:id="rId6" w:type="default"/>
          <w:pgSz w:w="16838" w:h="11905" w:orient="landscape"/>
          <w:pgMar w:top="1417" w:right="1417" w:bottom="1417" w:left="1417" w:header="850" w:footer="1304" w:gutter="0"/>
          <w:cols w:space="720" w:num="1"/>
          <w:docGrid w:type="lines" w:linePitch="29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0772FB-1614-47B5-83F4-E71642505D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177FB90-B8C9-44D8-9C72-A3736B4A0E79}"/>
  </w:font>
  <w:font w:name="方正小标宋简体">
    <w:panose1 w:val="02000000000000000000"/>
    <w:charset w:val="86"/>
    <w:family w:val="auto"/>
    <w:pitch w:val="default"/>
    <w:sig w:usb0="00000001" w:usb1="08000000" w:usb2="00000000" w:usb3="00000000" w:csb0="00040000" w:csb1="00000000"/>
    <w:embedRegular r:id="rId3" w:fontKey="{458E87B0-AC20-4DA6-9054-744A6041A330}"/>
  </w:font>
  <w:font w:name="仿宋_GB2312">
    <w:altName w:val="仿宋"/>
    <w:panose1 w:val="02010609030101010101"/>
    <w:charset w:val="86"/>
    <w:family w:val="modern"/>
    <w:pitch w:val="default"/>
    <w:sig w:usb0="00000000" w:usb1="00000000" w:usb2="00000000" w:usb3="00000000" w:csb0="00040000" w:csb1="00000000"/>
    <w:embedRegular r:id="rId4" w:fontKey="{4A85340E-63AC-4E95-B4C5-DAA8C5A8AE8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g1Y2ZjY2Y3YTA4NjA5MzhjY2RiNTI2NWQ1OTAifQ=="/>
  </w:docVars>
  <w:rsids>
    <w:rsidRoot w:val="25622E96"/>
    <w:rsid w:val="08C85573"/>
    <w:rsid w:val="0C247F7D"/>
    <w:rsid w:val="204F3550"/>
    <w:rsid w:val="232A475A"/>
    <w:rsid w:val="234E1A6D"/>
    <w:rsid w:val="25622E96"/>
    <w:rsid w:val="284A1496"/>
    <w:rsid w:val="39857B0D"/>
    <w:rsid w:val="42D01DCD"/>
    <w:rsid w:val="559F353A"/>
    <w:rsid w:val="5BB42C1C"/>
    <w:rsid w:val="76A11E59"/>
    <w:rsid w:val="778C4182"/>
    <w:rsid w:val="7B7E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7435</Words>
  <Characters>7460</Characters>
  <Lines>0</Lines>
  <Paragraphs>0</Paragraphs>
  <TotalTime>13</TotalTime>
  <ScaleCrop>false</ScaleCrop>
  <LinksUpToDate>false</LinksUpToDate>
  <CharactersWithSpaces>7552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2023-04-11T06:54:00Z</dcterms:created>
  <dc:creator>Administrator</dc:creator>
  <cp:lastModifiedBy>杨小龙</cp:lastModifiedBy>
  <dcterms:modified xsi:type="dcterms:W3CDTF">2023-05-18T00:33:56Z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14F632200AF94C6A89D766403F1D5965_13</vt:lpwstr>
  </property>
</Properties>
</file>