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2017年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苹塘镇中心小学部门预算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第一部分  苹塘镇中心小学概况</w:t>
      </w:r>
    </w:p>
    <w:p>
      <w:pPr>
        <w:numPr>
          <w:ilvl w:val="0"/>
          <w:numId w:val="1"/>
        </w:num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主要职责</w:t>
      </w:r>
    </w:p>
    <w:p>
      <w:pPr>
        <w:numPr>
          <w:ilvl w:val="0"/>
          <w:numId w:val="1"/>
        </w:num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苹塘镇中心小学</w:t>
      </w:r>
      <w:r>
        <w:rPr>
          <w:rFonts w:hint="eastAsia" w:ascii="黑体" w:hAnsi="黑体" w:eastAsia="黑体" w:cs="黑体"/>
          <w:sz w:val="32"/>
          <w:szCs w:val="32"/>
          <w:lang w:val="en-US" w:eastAsia="zh-CN"/>
        </w:rPr>
        <w:t>20</w:t>
      </w: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收支总体情况表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收入总体情况表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支出总体情况表</w:t>
      </w:r>
      <w:bookmarkStart w:id="0" w:name="_GoBack"/>
      <w:bookmarkEnd w:id="0"/>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财政拨款收支总体情况表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一般公共预算支出情况表（按功能分类科目）</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一般公共预算基本支出情况表（按支出经济分类科目）</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一般公共预算项目支出情况表（按支出经济分类科目）</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一般公共预算安排的行政经费及“三公”经费预算表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政府性基金预算支出情况表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部门预算基本支出预算表</w:t>
      </w:r>
    </w:p>
    <w:p>
      <w:pPr>
        <w:numPr>
          <w:ilvl w:val="0"/>
          <w:numId w:val="2"/>
        </w:num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2017年部门预算情况说明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苹塘镇中心小学概况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w:t>
      </w:r>
      <w:r>
        <w:rPr>
          <w:rFonts w:hint="eastAsia" w:ascii="FangSong_GB2312" w:eastAsia="FangSong_GB2312"/>
          <w:sz w:val="32"/>
          <w:szCs w:val="32"/>
        </w:rPr>
        <w:t>苹塘镇中心小学是主管</w:t>
      </w:r>
      <w:r>
        <w:rPr>
          <w:rFonts w:hint="eastAsia" w:ascii="FangSong_GB2312" w:eastAsia="FangSong_GB2312"/>
          <w:bCs/>
          <w:sz w:val="32"/>
          <w:szCs w:val="32"/>
        </w:rPr>
        <w:t>教</w:t>
      </w:r>
      <w:r>
        <w:rPr>
          <w:rFonts w:hint="eastAsia" w:ascii="FangSong_GB2312" w:eastAsia="FangSong_GB2312"/>
          <w:sz w:val="32"/>
          <w:szCs w:val="32"/>
        </w:rPr>
        <w:t>育工作的职能部门。主要职责：实施小学义务教育，促进基础教育发展</w:t>
      </w:r>
      <w:r>
        <w:rPr>
          <w:rFonts w:ascii="Arial" w:hAnsi="Arial" w:cs="Arial"/>
          <w:color w:val="000000"/>
          <w:kern w:val="0"/>
          <w:sz w:val="28"/>
          <w:szCs w:val="28"/>
        </w:rPr>
        <w:t>。</w:t>
      </w:r>
    </w:p>
    <w:p>
      <w:pPr>
        <w:rPr>
          <w:rFonts w:ascii="黑体" w:hAnsi="黑体" w:eastAsia="黑体" w:cs="黑体"/>
          <w:sz w:val="32"/>
          <w:szCs w:val="32"/>
        </w:rPr>
      </w:pPr>
      <w:r>
        <w:rPr>
          <w:rFonts w:hint="eastAsia" w:ascii="黑体" w:hAnsi="黑体" w:eastAsia="黑体" w:cs="黑体"/>
          <w:sz w:val="32"/>
          <w:szCs w:val="32"/>
        </w:rPr>
        <w:t xml:space="preserve">     二、机构设置</w:t>
      </w:r>
    </w:p>
    <w:p>
      <w:pPr>
        <w:spacing w:line="288" w:lineRule="auto"/>
        <w:ind w:firstLine="640" w:firstLineChars="200"/>
        <w:rPr>
          <w:rFonts w:ascii="FangSong_GB2312" w:eastAsia="FangSong_GB2312"/>
          <w:sz w:val="32"/>
          <w:szCs w:val="32"/>
        </w:rPr>
      </w:pPr>
      <w:r>
        <w:rPr>
          <w:rFonts w:hint="eastAsia" w:ascii="FangSong_GB2312" w:eastAsia="FangSong_GB2312"/>
          <w:sz w:val="32"/>
          <w:szCs w:val="32"/>
        </w:rPr>
        <w:t>（一）按照部门决算编报要求，纳入苹塘镇中心小学2017年部门决算编报范围的单位共19个，包括完全小学1所,教学点18个。</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（二）本部门内设机构、人员构成情况：编制人数 214 人，其中：行政编制0人，事业编制213　　人，工勤人员　1　人。</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实有人数  312人，其中：在职 204 人，离退休81 人，其他人员 26 人。 　</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纳入统发工资人数 294 人，其中：在职 213  人，离退休81 人。 　</w:t>
      </w:r>
    </w:p>
    <w:p>
      <w:pPr>
        <w:spacing w:line="52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非统发工资人数 26 人，其中：在职 26  人，离退休 0 人，其他人员  0 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2017年部门预算表</w:t>
      </w:r>
    </w:p>
    <w:p>
      <w:pPr>
        <w:rPr>
          <w:rFonts w:ascii="KaiTi_GB2312" w:hAnsi="KaiTi_GB2312" w:eastAsia="KaiTi_GB2312" w:cs="KaiTi_GB2312"/>
          <w:sz w:val="32"/>
          <w:szCs w:val="32"/>
        </w:rPr>
      </w:pPr>
      <w:r>
        <w:drawing>
          <wp:inline distT="0" distB="0" distL="0" distR="0">
            <wp:extent cx="5274310" cy="315531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155634"/>
                    </a:xfrm>
                    <a:prstGeom prst="rect">
                      <a:avLst/>
                    </a:prstGeom>
                    <a:noFill/>
                    <a:ln>
                      <a:noFill/>
                    </a:ln>
                  </pic:spPr>
                </pic:pic>
              </a:graphicData>
            </a:graphic>
          </wp:inline>
        </w:drawing>
      </w:r>
    </w:p>
    <w:p>
      <w:pPr>
        <w:rPr>
          <w:rFonts w:ascii="方正小标宋简体" w:hAnsi="方正小标宋简体" w:eastAsia="方正小标宋简体" w:cs="方正小标宋简体"/>
          <w:sz w:val="44"/>
          <w:szCs w:val="44"/>
        </w:rPr>
      </w:pPr>
    </w:p>
    <w:p>
      <w:r>
        <w:drawing>
          <wp:inline distT="0" distB="0" distL="0" distR="0">
            <wp:extent cx="5143500" cy="5657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43500" cy="5657850"/>
                    </a:xfrm>
                    <a:prstGeom prst="rect">
                      <a:avLst/>
                    </a:prstGeom>
                    <a:noFill/>
                    <a:ln>
                      <a:noFill/>
                    </a:ln>
                  </pic:spPr>
                </pic:pic>
              </a:graphicData>
            </a:graphic>
          </wp:inline>
        </w:drawing>
      </w:r>
    </w:p>
    <w:p/>
    <w:p>
      <w:r>
        <w:drawing>
          <wp:inline distT="0" distB="0" distL="0" distR="0">
            <wp:extent cx="5029200" cy="79343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29200" cy="7934325"/>
                    </a:xfrm>
                    <a:prstGeom prst="rect">
                      <a:avLst/>
                    </a:prstGeom>
                    <a:noFill/>
                    <a:ln>
                      <a:noFill/>
                    </a:ln>
                  </pic:spPr>
                </pic:pic>
              </a:graphicData>
            </a:graphic>
          </wp:inline>
        </w:drawing>
      </w:r>
    </w:p>
    <w:p/>
    <w:p/>
    <w:p/>
    <w:p>
      <w:r>
        <w:drawing>
          <wp:inline distT="0" distB="0" distL="0" distR="0">
            <wp:extent cx="5274310" cy="181165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1812080"/>
                    </a:xfrm>
                    <a:prstGeom prst="rect">
                      <a:avLst/>
                    </a:prstGeom>
                    <a:noFill/>
                    <a:ln>
                      <a:noFill/>
                    </a:ln>
                  </pic:spPr>
                </pic:pic>
              </a:graphicData>
            </a:graphic>
          </wp:inline>
        </w:drawing>
      </w:r>
    </w:p>
    <w:p/>
    <w:p/>
    <w:p>
      <w:r>
        <w:drawing>
          <wp:inline distT="0" distB="0" distL="0" distR="0">
            <wp:extent cx="5274310" cy="2696845"/>
            <wp:effectExtent l="0" t="0" r="254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697332"/>
                    </a:xfrm>
                    <a:prstGeom prst="rect">
                      <a:avLst/>
                    </a:prstGeom>
                    <a:noFill/>
                    <a:ln>
                      <a:noFill/>
                    </a:ln>
                  </pic:spPr>
                </pic:pic>
              </a:graphicData>
            </a:graphic>
          </wp:inline>
        </w:drawing>
      </w:r>
    </w:p>
    <w:p/>
    <w:p/>
    <w:p/>
    <w:p/>
    <w:p>
      <w:pPr>
        <w:sectPr>
          <w:pgSz w:w="11906" w:h="16838"/>
          <w:pgMar w:top="1440" w:right="1800" w:bottom="1440" w:left="1800" w:header="851" w:footer="992" w:gutter="0"/>
          <w:cols w:space="425" w:num="1"/>
          <w:docGrid w:type="lines" w:linePitch="312" w:charSpace="0"/>
        </w:sectPr>
      </w:pPr>
      <w:r>
        <w:drawing>
          <wp:inline distT="0" distB="0" distL="0" distR="0">
            <wp:extent cx="5274310" cy="10158095"/>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10158718"/>
                    </a:xfrm>
                    <a:prstGeom prst="rect">
                      <a:avLst/>
                    </a:prstGeom>
                    <a:noFill/>
                    <a:ln>
                      <a:noFill/>
                    </a:ln>
                  </pic:spPr>
                </pic:pic>
              </a:graphicData>
            </a:graphic>
          </wp:inline>
        </w:drawing>
      </w:r>
    </w:p>
    <w:p>
      <w:pPr>
        <w:sectPr>
          <w:pgSz w:w="11906" w:h="16838"/>
          <w:pgMar w:top="1440" w:right="1800" w:bottom="1440" w:left="1800" w:header="851" w:footer="992" w:gutter="0"/>
          <w:cols w:space="425" w:num="1"/>
          <w:docGrid w:type="lines" w:linePitch="312" w:charSpace="0"/>
        </w:sectPr>
      </w:pPr>
      <w:r>
        <w:drawing>
          <wp:inline distT="0" distB="0" distL="0" distR="0">
            <wp:extent cx="5274310" cy="687705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6877423"/>
                    </a:xfrm>
                    <a:prstGeom prst="rect">
                      <a:avLst/>
                    </a:prstGeom>
                    <a:noFill/>
                    <a:ln>
                      <a:noFill/>
                    </a:ln>
                  </pic:spPr>
                </pic:pic>
              </a:graphicData>
            </a:graphic>
          </wp:inline>
        </w:drawing>
      </w:r>
    </w:p>
    <w:p>
      <w:r>
        <w:drawing>
          <wp:inline distT="0" distB="0" distL="0" distR="0">
            <wp:extent cx="5274310" cy="546989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5469933"/>
                    </a:xfrm>
                    <a:prstGeom prst="rect">
                      <a:avLst/>
                    </a:prstGeom>
                    <a:noFill/>
                    <a:ln>
                      <a:noFill/>
                    </a:ln>
                  </pic:spPr>
                </pic:pic>
              </a:graphicData>
            </a:graphic>
          </wp:inline>
        </w:drawing>
      </w:r>
    </w:p>
    <w:p>
      <w:r>
        <w:drawing>
          <wp:inline distT="0" distB="0" distL="0" distR="0">
            <wp:extent cx="5274310" cy="3112135"/>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3112279"/>
                    </a:xfrm>
                    <a:prstGeom prst="rect">
                      <a:avLst/>
                    </a:prstGeom>
                    <a:noFill/>
                    <a:ln>
                      <a:noFill/>
                    </a:ln>
                  </pic:spPr>
                </pic:pic>
              </a:graphicData>
            </a:graphic>
          </wp:inline>
        </w:drawing>
      </w:r>
    </w:p>
    <w:p>
      <w:r>
        <w:drawing>
          <wp:inline distT="0" distB="0" distL="0" distR="0">
            <wp:extent cx="5274310" cy="42500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4250434"/>
                    </a:xfrm>
                    <a:prstGeom prst="rect">
                      <a:avLst/>
                    </a:prstGeom>
                    <a:noFill/>
                    <a:ln>
                      <a:noFill/>
                    </a:ln>
                  </pic:spPr>
                </pic:pic>
              </a:graphicData>
            </a:graphic>
          </wp:inline>
        </w:drawing>
      </w:r>
    </w:p>
    <w:p/>
    <w:p/>
    <w:p>
      <w:r>
        <w:drawing>
          <wp:inline distT="0" distB="0" distL="0" distR="0">
            <wp:extent cx="5274310" cy="4663440"/>
            <wp:effectExtent l="0" t="0" r="2540"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4663600"/>
                    </a:xfrm>
                    <a:prstGeom prst="rect">
                      <a:avLst/>
                    </a:prstGeom>
                    <a:noFill/>
                    <a:ln>
                      <a:noFill/>
                    </a:ln>
                  </pic:spPr>
                </pic:pic>
              </a:graphicData>
            </a:graphic>
          </wp:inline>
        </w:drawing>
      </w:r>
    </w:p>
    <w:p/>
    <w:p/>
    <w:p/>
    <w:p/>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2017年部门预算情况说明</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hint="eastAsia" w:ascii="FangSong_GB2312" w:hAnsi="FangSong_GB2312" w:eastAsia="FangSong_GB2312" w:cs="FangSong_GB2312"/>
          <w:sz w:val="32"/>
          <w:szCs w:val="32"/>
        </w:rPr>
        <w:t>2017年本部门收入预算1998万元，比上年减少17万元，下降0.8%，主要原因是房屋及教学设备减少；支出预算1998万元，比上年减少17万元，下降0.8%，主要原因是主要原因是房屋教育设备减少。</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2017年本部门“三公”经费预算安排4.08万元，比上年</w:t>
      </w:r>
      <w:r>
        <w:rPr>
          <w:rFonts w:hint="eastAsia" w:ascii="FangSong_GB2312" w:hAnsi="FangSong_GB2312" w:eastAsia="FangSong_GB2312" w:cs="FangSong_GB2312"/>
          <w:sz w:val="32"/>
          <w:szCs w:val="32"/>
          <w:lang w:val="en-US" w:eastAsia="zh-CN"/>
        </w:rPr>
        <w:t>增加2.48</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增长60</w:t>
      </w:r>
      <w:r>
        <w:rPr>
          <w:rFonts w:hint="eastAsia" w:ascii="FangSong_GB2312" w:hAnsi="FangSong_GB2312" w:eastAsia="FangSong_GB2312" w:cs="FangSong_GB2312"/>
          <w:sz w:val="32"/>
          <w:szCs w:val="32"/>
        </w:rPr>
        <w:t>%，主要原因</w:t>
      </w:r>
      <w:r>
        <w:rPr>
          <w:rFonts w:hint="eastAsia" w:ascii="FangSong_GB2312" w:hAnsi="FangSong_GB2312" w:eastAsia="FangSong_GB2312" w:cs="FangSong_GB2312"/>
          <w:sz w:val="32"/>
          <w:szCs w:val="32"/>
          <w:lang w:val="en-US" w:eastAsia="zh-CN"/>
        </w:rPr>
        <w:t>公务接待次数大大增多</w:t>
      </w:r>
      <w:r>
        <w:rPr>
          <w:rFonts w:hint="eastAsia" w:ascii="FangSong_GB2312" w:hAnsi="FangSong_GB2312" w:eastAsia="FangSong_GB2312" w:cs="FangSong_GB2312"/>
          <w:sz w:val="32"/>
          <w:szCs w:val="32"/>
        </w:rPr>
        <w:t>。其中：公务接待费4.08万元，比上年减少</w:t>
      </w:r>
      <w:r>
        <w:rPr>
          <w:rFonts w:hint="eastAsia" w:ascii="FangSong_GB2312" w:hAnsi="FangSong_GB2312" w:eastAsia="FangSong_GB2312" w:cs="FangSong_GB2312"/>
          <w:sz w:val="32"/>
          <w:szCs w:val="32"/>
          <w:lang w:val="en-US" w:eastAsia="zh-CN"/>
        </w:rPr>
        <w:t>2.48</w:t>
      </w:r>
      <w:r>
        <w:rPr>
          <w:rFonts w:hint="eastAsia" w:ascii="FangSong_GB2312" w:hAnsi="FangSong_GB2312" w:eastAsia="FangSong_GB2312" w:cs="FangSong_GB2312"/>
          <w:sz w:val="32"/>
          <w:szCs w:val="32"/>
        </w:rPr>
        <w:t>万元，下降</w:t>
      </w:r>
      <w:r>
        <w:rPr>
          <w:rFonts w:hint="eastAsia" w:ascii="FangSong_GB2312" w:hAnsi="FangSong_GB2312" w:eastAsia="FangSong_GB2312" w:cs="FangSong_GB2312"/>
          <w:sz w:val="32"/>
          <w:szCs w:val="32"/>
          <w:lang w:val="en-US" w:eastAsia="zh-CN"/>
        </w:rPr>
        <w:t>60</w:t>
      </w:r>
      <w:r>
        <w:rPr>
          <w:rFonts w:hint="eastAsia" w:ascii="FangSong_GB2312" w:hAnsi="FangSong_GB2312" w:eastAsia="FangSong_GB2312" w:cs="FangSong_GB2312"/>
          <w:sz w:val="32"/>
          <w:szCs w:val="32"/>
        </w:rPr>
        <w:t>%，主要原因是</w:t>
      </w:r>
      <w:r>
        <w:rPr>
          <w:rFonts w:hint="eastAsia" w:ascii="FangSong_GB2312" w:hAnsi="FangSong_GB2312" w:eastAsia="FangSong_GB2312" w:cs="FangSong_GB2312"/>
          <w:sz w:val="32"/>
          <w:szCs w:val="32"/>
          <w:lang w:val="en-US" w:eastAsia="zh-CN"/>
        </w:rPr>
        <w:t>公务接待次数大大增多</w:t>
      </w:r>
      <w:r>
        <w:rPr>
          <w:rFonts w:hint="eastAsia" w:ascii="FangSong_GB2312" w:eastAsia="FangSong_GB2312"/>
          <w:sz w:val="32"/>
          <w:szCs w:val="32"/>
          <w:lang w:eastAsia="zh-CN"/>
        </w:rPr>
        <w:t>。</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2017年，本部门机关运行经费安排246万元，比上年减少17万元，下降0.8%，主要原因是办公费及其他费用的减少。其中：办公费58万元。21万元，印刷费2.7万元，邮电费7.1万元，差旅费4.12万元，会议费0万元，福利费0万元，日常维修费74.86万元，专用材料及一般设备购置费22.87，办公用房水电费</w:t>
      </w:r>
      <w:r>
        <w:rPr>
          <w:rFonts w:hint="eastAsia" w:ascii="FangSong_GB2312" w:hAnsi="FangSong_GB2312" w:eastAsia="FangSong_GB2312" w:cs="FangSong_GB2312"/>
          <w:sz w:val="32"/>
          <w:szCs w:val="32"/>
          <w:lang w:val="en-US" w:eastAsia="zh-CN"/>
        </w:rPr>
        <w:t>23</w:t>
      </w:r>
      <w:r>
        <w:rPr>
          <w:rFonts w:hint="eastAsia" w:ascii="FangSong_GB2312" w:hAnsi="FangSong_GB2312" w:eastAsia="FangSong_GB2312" w:cs="FangSong_GB2312"/>
          <w:sz w:val="32"/>
          <w:szCs w:val="32"/>
        </w:rPr>
        <w:t>万元，办公用房取暖费0万元，办公用房物业管理费0万元，公务用车运行维护费0万元等。</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2017年本部门政府采购安排</w:t>
      </w:r>
      <w:r>
        <w:rPr>
          <w:rFonts w:hint="eastAsia" w:ascii="FangSong_GB2312" w:hAnsi="FangSong_GB2312" w:eastAsia="FangSong_GB2312" w:cs="FangSong_GB2312"/>
          <w:sz w:val="32"/>
          <w:szCs w:val="32"/>
          <w:lang w:val="en-US" w:eastAsia="zh-CN"/>
        </w:rPr>
        <w:t>121</w:t>
      </w:r>
      <w:r>
        <w:rPr>
          <w:rFonts w:hint="eastAsia" w:ascii="FangSong_GB2312" w:hAnsi="FangSong_GB2312" w:eastAsia="FangSong_GB2312" w:cs="FangSong_GB2312"/>
          <w:sz w:val="32"/>
          <w:szCs w:val="32"/>
        </w:rPr>
        <w:t>万元，其中：货物类采购预算</w:t>
      </w:r>
      <w:r>
        <w:rPr>
          <w:rFonts w:hint="eastAsia" w:ascii="FangSong_GB2312" w:hAnsi="FangSong_GB2312" w:eastAsia="FangSong_GB2312" w:cs="FangSong_GB2312"/>
          <w:sz w:val="32"/>
          <w:szCs w:val="32"/>
          <w:lang w:val="en-US" w:eastAsia="zh-CN"/>
        </w:rPr>
        <w:t>34</w:t>
      </w:r>
      <w:r>
        <w:rPr>
          <w:rFonts w:hint="eastAsia" w:ascii="FangSong_GB2312" w:hAnsi="FangSong_GB2312" w:eastAsia="FangSong_GB2312" w:cs="FangSong_GB2312"/>
          <w:sz w:val="32"/>
          <w:szCs w:val="32"/>
        </w:rPr>
        <w:t>万元，工程类采购预算</w:t>
      </w:r>
      <w:r>
        <w:rPr>
          <w:rFonts w:hint="eastAsia" w:ascii="FangSong_GB2312" w:hAnsi="FangSong_GB2312" w:eastAsia="FangSong_GB2312" w:cs="FangSong_GB2312"/>
          <w:sz w:val="32"/>
          <w:szCs w:val="32"/>
          <w:lang w:val="en-US" w:eastAsia="zh-CN"/>
        </w:rPr>
        <w:t>887</w:t>
      </w:r>
      <w:r>
        <w:rPr>
          <w:rFonts w:hint="eastAsia" w:ascii="FangSong_GB2312" w:hAnsi="FangSong_GB2312" w:eastAsia="FangSong_GB2312" w:cs="FangSong_GB2312"/>
          <w:sz w:val="32"/>
          <w:szCs w:val="32"/>
        </w:rPr>
        <w:t>万元，服务类采购预算</w:t>
      </w:r>
      <w:r>
        <w:rPr>
          <w:rFonts w:hint="eastAsia" w:ascii="FangSong_GB2312" w:hAnsi="FangSong_GB2312" w:eastAsia="FangSong_GB2312" w:cs="FangSong_GB2312"/>
          <w:sz w:val="32"/>
          <w:szCs w:val="32"/>
          <w:lang w:val="en-US" w:eastAsia="zh-CN"/>
        </w:rPr>
        <w:t>0</w:t>
      </w:r>
      <w:r>
        <w:rPr>
          <w:rFonts w:hint="eastAsia" w:ascii="FangSong_GB2312" w:hAnsi="FangSong_GB2312" w:eastAsia="FangSong_GB2312" w:cs="FangSong_GB2312"/>
          <w:sz w:val="32"/>
          <w:szCs w:val="32"/>
        </w:rPr>
        <w:t>万元等。</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ascii="KaiTi_GB2312" w:hAnsi="KaiTi_GB2312" w:eastAsia="KaiTi_GB2312" w:cs="KaiTi_GB2312"/>
          <w:sz w:val="32"/>
          <w:szCs w:val="32"/>
          <w:highlight w:val="lightGray"/>
        </w:rPr>
      </w:pPr>
      <w:r>
        <w:rPr>
          <w:rFonts w:hint="eastAsia" w:ascii="FangSong_GB2312" w:hAnsi="FangSong_GB2312" w:eastAsia="FangSong_GB2312" w:cs="FangSong_GB2312"/>
          <w:sz w:val="32"/>
          <w:szCs w:val="32"/>
        </w:rPr>
        <w:t>截至2017年1月1日，本部门占有使用国有资产总体情况为：</w:t>
      </w:r>
      <w:r>
        <w:rPr>
          <w:rFonts w:hint="eastAsia" w:ascii="FangSong_GB2312" w:hAnsi="FangSong_GB2312" w:eastAsia="FangSong_GB2312" w:cs="FangSong_GB2312"/>
          <w:sz w:val="32"/>
          <w:szCs w:val="32"/>
          <w:lang w:val="en-US" w:eastAsia="zh-CN"/>
        </w:rPr>
        <w:t>27059万元</w:t>
      </w:r>
      <w:r>
        <w:rPr>
          <w:rFonts w:hint="eastAsia" w:ascii="FangSong_GB2312" w:hAnsi="FangSong_GB2312" w:eastAsia="FangSong_GB2312" w:cs="FangSong_GB2312"/>
          <w:sz w:val="32"/>
          <w:szCs w:val="32"/>
        </w:rPr>
        <w:t>，分布构成情况为：</w:t>
      </w:r>
      <w:r>
        <w:rPr>
          <w:rFonts w:hint="eastAsia" w:ascii="FangSong_GB2312" w:hAnsi="FangSong_GB2312" w:eastAsia="FangSong_GB2312" w:cs="FangSong_GB2312"/>
          <w:sz w:val="32"/>
          <w:szCs w:val="32"/>
          <w:lang w:val="en-US" w:eastAsia="zh-CN"/>
        </w:rPr>
        <w:t>房屋及建筑物20489万元</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专业设备4030万元，通用设备460万元，图书储存值564万元，家具用具等1513万元。</w:t>
      </w:r>
    </w:p>
    <w:p>
      <w:pPr>
        <w:ind w:firstLine="640"/>
        <w:rPr>
          <w:rFonts w:ascii="KaiTi_GB2312" w:hAnsi="KaiTi_GB2312" w:eastAsia="KaiTi_GB2312" w:cs="KaiTi_GB2312"/>
          <w:sz w:val="32"/>
          <w:szCs w:val="32"/>
          <w:highlight w:val="lightGray"/>
        </w:rPr>
      </w:pP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snapToGrid w:val="0"/>
        <w:spacing w:line="580" w:lineRule="exact"/>
        <w:ind w:firstLine="200"/>
        <w:rPr>
          <w:rFonts w:ascii="方正小标宋简体" w:hAnsi="方正小标宋简体" w:eastAsia="方正小标宋简体" w:cs="方正小标宋简体"/>
          <w:sz w:val="44"/>
          <w:szCs w:val="44"/>
        </w:rPr>
      </w:pPr>
      <w:r>
        <w:rPr>
          <w:rFonts w:hint="eastAsia" w:ascii="FangSong_GB2312" w:hAnsi="FangSong_GB2312" w:eastAsia="FangSong_GB2312" w:cs="FangSong_GB2312"/>
          <w:sz w:val="32"/>
          <w:szCs w:val="32"/>
        </w:rPr>
        <w:t>2017年，本部门推进预算绩效信息公开的有关工作情况。</w:t>
      </w:r>
      <w:r>
        <w:rPr>
          <w:rFonts w:hint="eastAsia" w:ascii="FangSong_GB2312" w:eastAsia="FangSong_GB2312"/>
          <w:b/>
          <w:sz w:val="32"/>
          <w:szCs w:val="32"/>
        </w:rPr>
        <w:t>绩效管理工作总体情况：</w:t>
      </w:r>
      <w:r>
        <w:rPr>
          <w:rFonts w:hint="eastAsia" w:ascii="FangSong_GB2312" w:eastAsia="FangSong_GB2312"/>
          <w:sz w:val="32"/>
          <w:szCs w:val="32"/>
        </w:rPr>
        <w:t>根据财政预算管理要求，我部门组织对2017年度一般公共预算项目支出全面开展绩效自评。其中，一级项目1个，二级项目0个，共涉及资金157.13万元，自评覆盖率达到100%对比上年推进0%。</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ind w:firstLine="640" w:firstLineChars="200"/>
        <w:jc w:val="left"/>
        <w:rPr>
          <w:rFonts w:ascii="KaiTi_GB2312" w:hAnsi="KaiTi_GB2312" w:eastAsia="KaiTi_GB2312" w:cs="KaiTi_GB2312"/>
          <w:sz w:val="32"/>
          <w:szCs w:val="32"/>
          <w:highlight w:val="lightGray"/>
        </w:rPr>
      </w:pPr>
    </w:p>
    <w:p>
      <w:pPr>
        <w:spacing w:line="288" w:lineRule="auto"/>
        <w:ind w:firstLine="627" w:firstLineChars="196"/>
        <w:rPr>
          <w:rFonts w:ascii="FangSong_GB2312" w:eastAsia="FangSong_GB2312"/>
          <w:b/>
          <w:sz w:val="32"/>
          <w:szCs w:val="32"/>
        </w:rPr>
      </w:pPr>
      <w:r>
        <w:rPr>
          <w:rFonts w:hint="eastAsia" w:ascii="FangSong_GB2312" w:eastAsia="FangSong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5"/>
        </w:numPr>
        <w:spacing w:line="288" w:lineRule="auto"/>
        <w:ind w:firstLine="630" w:firstLineChars="196"/>
        <w:rPr>
          <w:rFonts w:ascii="FangSong_GB2312" w:eastAsia="FangSong_GB2312"/>
          <w:sz w:val="32"/>
          <w:szCs w:val="32"/>
        </w:rPr>
      </w:pPr>
      <w:r>
        <w:rPr>
          <w:rFonts w:hint="eastAsia" w:ascii="FangSong_GB2312" w:eastAsia="FangSong_GB2312"/>
          <w:b/>
          <w:sz w:val="32"/>
          <w:szCs w:val="32"/>
        </w:rPr>
        <w:t>财政拨款收入：</w:t>
      </w:r>
      <w:r>
        <w:rPr>
          <w:rFonts w:hint="eastAsia" w:ascii="FangSong_GB2312" w:eastAsia="FangSong_GB2312"/>
          <w:sz w:val="32"/>
          <w:szCs w:val="32"/>
        </w:rPr>
        <w:t>指财政当年拨付的资金事业收入。</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二、事业收入：</w:t>
      </w:r>
      <w:r>
        <w:rPr>
          <w:rFonts w:hint="eastAsia" w:ascii="FangSong_GB2312" w:eastAsia="FangSong_GB2312"/>
          <w:sz w:val="32"/>
          <w:szCs w:val="32"/>
        </w:rPr>
        <w:t>指事业单位开展专业业务活动及辅动所取得的收入。</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三、经营收入：</w:t>
      </w:r>
      <w:r>
        <w:rPr>
          <w:rFonts w:hint="eastAsia" w:ascii="FangSong_GB2312" w:eastAsia="FangSong_GB2312"/>
          <w:sz w:val="32"/>
          <w:szCs w:val="32"/>
        </w:rPr>
        <w:t>指事业单位在专业业务活动及其辅助活动之外开展非独立核算经营活动取得的收入。</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四、其他收入：</w:t>
      </w:r>
      <w:r>
        <w:rPr>
          <w:rFonts w:hint="eastAsia" w:ascii="FangSong_GB2312" w:eastAsia="FangSong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五、用事业基金弥补收支差额：</w:t>
      </w:r>
      <w:r>
        <w:rPr>
          <w:rFonts w:hint="eastAsia" w:ascii="FangSong_GB2312" w:eastAsia="FangSong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六、年初结转和结余：</w:t>
      </w:r>
      <w:r>
        <w:rPr>
          <w:rFonts w:hint="eastAsia" w:ascii="FangSong_GB2312" w:eastAsia="FangSong_GB2312"/>
          <w:sz w:val="32"/>
          <w:szCs w:val="32"/>
        </w:rPr>
        <w:t>指以前年度尚未完成、结转到本年按有关规定继续使用的资金。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七、结余分配：</w:t>
      </w:r>
      <w:r>
        <w:rPr>
          <w:rFonts w:hint="eastAsia" w:ascii="FangSong_GB2312" w:eastAsia="FangSong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八、年末结转和结余：</w:t>
      </w:r>
      <w:r>
        <w:rPr>
          <w:rFonts w:hint="eastAsia" w:ascii="FangSong_GB2312" w:eastAsia="FangSong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九、基本支出：</w:t>
      </w:r>
      <w:r>
        <w:rPr>
          <w:rFonts w:hint="eastAsia" w:ascii="FangSong_GB2312" w:eastAsia="FangSong_GB2312"/>
          <w:sz w:val="32"/>
          <w:szCs w:val="32"/>
        </w:rPr>
        <w:t>指为保障机构正常运转、完成日常工作任务面发生的人员支出和公用支出。</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十、项目支出：</w:t>
      </w:r>
      <w:r>
        <w:rPr>
          <w:rFonts w:hint="eastAsia" w:ascii="FangSong_GB2312" w:eastAsia="FangSong_GB2312"/>
          <w:sz w:val="32"/>
          <w:szCs w:val="32"/>
        </w:rPr>
        <w:t>指在基本支出这外为完成特定行政任务和事业发展目标所发生的支出。</w:t>
      </w:r>
    </w:p>
    <w:p>
      <w:pPr>
        <w:spacing w:line="288" w:lineRule="auto"/>
        <w:ind w:left="1" w:firstLine="630" w:firstLineChars="196"/>
        <w:rPr>
          <w:rFonts w:ascii="FangSong_GB2312" w:eastAsia="FangSong_GB2312"/>
          <w:sz w:val="32"/>
          <w:szCs w:val="32"/>
        </w:rPr>
      </w:pPr>
      <w:r>
        <w:rPr>
          <w:rFonts w:hint="eastAsia" w:ascii="FangSong_GB2312" w:eastAsia="FangSong_GB2312"/>
          <w:b/>
          <w:sz w:val="32"/>
          <w:szCs w:val="32"/>
        </w:rPr>
        <w:t>十一、经营支出：</w:t>
      </w:r>
      <w:r>
        <w:rPr>
          <w:rFonts w:hint="eastAsia" w:ascii="FangSong_GB2312" w:eastAsia="FangSong_GB2312"/>
          <w:sz w:val="32"/>
          <w:szCs w:val="32"/>
        </w:rPr>
        <w:t>指事业单位在专业业务活动及其辅助活动之外开展非独立核算经营活动所发生的支出。</w:t>
      </w:r>
    </w:p>
    <w:p>
      <w:pPr>
        <w:spacing w:line="288" w:lineRule="auto"/>
        <w:ind w:left="1" w:firstLine="630" w:firstLineChars="196"/>
        <w:rPr>
          <w:rFonts w:ascii="FangSong_GB2312" w:hAnsi="宋体" w:eastAsia="FangSong_GB2312" w:cs="宋体"/>
          <w:kern w:val="0"/>
          <w:sz w:val="32"/>
          <w:szCs w:val="32"/>
        </w:rPr>
      </w:pPr>
      <w:r>
        <w:rPr>
          <w:rFonts w:hint="eastAsia" w:ascii="FangSong_GB2312" w:eastAsia="FangSong_GB2312"/>
          <w:b/>
          <w:sz w:val="32"/>
          <w:szCs w:val="32"/>
        </w:rPr>
        <w:t>十二、“三公”经费：</w:t>
      </w:r>
      <w:r>
        <w:rPr>
          <w:rFonts w:hint="eastAsia" w:ascii="FangSong_GB2312" w:hAnsi="宋体" w:eastAsia="FangSong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3" w:firstLineChars="200"/>
        <w:jc w:val="left"/>
        <w:rPr>
          <w:rFonts w:ascii="FangSong_GB2312" w:hAnsi="FangSong_GB2312" w:eastAsia="FangSong_GB2312" w:cs="FangSong_GB2312"/>
          <w:sz w:val="32"/>
          <w:szCs w:val="32"/>
        </w:rPr>
      </w:pPr>
      <w:r>
        <w:rPr>
          <w:rFonts w:hint="eastAsia" w:ascii="FangSong_GB2312" w:eastAsia="FangSong_GB2312"/>
          <w:b/>
          <w:sz w:val="32"/>
          <w:szCs w:val="32"/>
        </w:rPr>
        <w:t>十三、机关运行经费：</w:t>
      </w:r>
      <w:r>
        <w:rPr>
          <w:rFonts w:hint="eastAsia" w:ascii="FangSong_GB2312" w:eastAsia="FangSong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KaiTi_GB2312">
    <w:altName w:val="宋体"/>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2B"/>
    <w:rsid w:val="001143FD"/>
    <w:rsid w:val="0031784E"/>
    <w:rsid w:val="0039602B"/>
    <w:rsid w:val="00463086"/>
    <w:rsid w:val="0048433F"/>
    <w:rsid w:val="00722346"/>
    <w:rsid w:val="00A25A16"/>
    <w:rsid w:val="00AD0377"/>
    <w:rsid w:val="00CE4EDD"/>
    <w:rsid w:val="00D050E2"/>
    <w:rsid w:val="0AFC6AE9"/>
    <w:rsid w:val="0E6E5156"/>
    <w:rsid w:val="13016A31"/>
    <w:rsid w:val="1B8C3BBF"/>
    <w:rsid w:val="20876A0A"/>
    <w:rsid w:val="20EE6A13"/>
    <w:rsid w:val="2A0F6AD9"/>
    <w:rsid w:val="2A5B5734"/>
    <w:rsid w:val="319162DD"/>
    <w:rsid w:val="36E602DD"/>
    <w:rsid w:val="41E12EBF"/>
    <w:rsid w:val="47745282"/>
    <w:rsid w:val="4DC23947"/>
    <w:rsid w:val="50CB6A87"/>
    <w:rsid w:val="55FA2E36"/>
    <w:rsid w:val="60E37A9B"/>
    <w:rsid w:val="66D06120"/>
    <w:rsid w:val="6C047D72"/>
    <w:rsid w:val="6D9B07DA"/>
    <w:rsid w:val="6F5F3BA5"/>
    <w:rsid w:val="71984A77"/>
    <w:rsid w:val="770C33B2"/>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3"/>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2336</Words>
  <Characters>255</Characters>
  <Lines>2</Lines>
  <Paragraphs>5</Paragraphs>
  <ScaleCrop>false</ScaleCrop>
  <LinksUpToDate>false</LinksUpToDate>
  <CharactersWithSpaces>2586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2018-04-08T08:14:33Z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