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2017年</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罗定第一小学部门预算</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黑体" w:hAnsi="黑体" w:eastAsia="黑体" w:cs="黑体"/>
          <w:sz w:val="44"/>
          <w:szCs w:val="44"/>
          <w:lang w:val="en-US" w:eastAsia="zh-CN"/>
        </w:rPr>
      </w:pPr>
      <w:r>
        <w:rPr>
          <w:rFonts w:hint="eastAsia" w:ascii="方正小标宋简体" w:hAnsi="方正小标宋简体" w:eastAsia="方正小标宋简体" w:cs="方正小标宋简体"/>
          <w:sz w:val="84"/>
          <w:szCs w:val="84"/>
          <w:lang w:val="en-US" w:eastAsia="zh-CN"/>
        </w:rPr>
        <w:br w:type="page"/>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center"/>
        <w:rPr>
          <w:rFonts w:hint="eastAsia" w:ascii="黑体" w:hAnsi="黑体" w:eastAsia="黑体" w:cs="黑体"/>
          <w:sz w:val="44"/>
          <w:szCs w:val="44"/>
          <w:lang w:val="en-US" w:eastAsia="zh-CN"/>
        </w:rPr>
      </w:pP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第一部分  罗定第一小学学校概况</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机构设置</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第二部分  罗定第一小学年部门预算表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支出总体情况表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一般公共预算支出情况表（按功能分类科目）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一般公共预算基本支出情况表（按支出经济分类科目）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一般公共预算项目支出情况表（按支出经济分类科目）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一般公共预算安排的行政经费及“三公”经费预算表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政府性基金预算支出情况表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部门预算基本支出预算表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部门预算项目支出及其他支出预算表</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2017年部门预算情况说明</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名词解释</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第一部分  学校概况</w:t>
      </w:r>
    </w:p>
    <w:p>
      <w:pPr>
        <w:jc w:val="both"/>
        <w:rPr>
          <w:rFonts w:hint="eastAsia" w:ascii="黑体" w:hAnsi="黑体" w:eastAsia="黑体" w:cs="黑体"/>
          <w:sz w:val="44"/>
          <w:szCs w:val="44"/>
          <w:lang w:val="en-US" w:eastAsia="zh-CN"/>
        </w:rPr>
      </w:pPr>
    </w:p>
    <w:p>
      <w:pPr>
        <w:numPr>
          <w:ilvl w:val="0"/>
          <w:numId w:val="3"/>
        </w:numPr>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主要职责</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 学校部门职能                                                   </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（1）认真贯彻落实党和国家的方针政策，正确执行上级主管部门的决议和指示，全面实施素质教育，培养德智体美等全面发展的社会主义事业建设者和加班人。</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（2）根据教育规律、社会要求和学校实际，组织制定学校发展的远景规划、近期目标、学年和学期各项工作计划及各项工作指标并组织实施。执行9年义务教育，完成小学阶段的教育教学任务。教书育人。</w:t>
      </w:r>
    </w:p>
    <w:p>
      <w:pPr>
        <w:numPr>
          <w:ilvl w:val="0"/>
          <w:numId w:val="0"/>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二、机构设置</w:t>
      </w:r>
    </w:p>
    <w:p>
      <w:pPr>
        <w:numPr>
          <w:ilvl w:val="0"/>
          <w:numId w:val="4"/>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本部门无下属单位，部门预算为二级预算单位。</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本部门内设机构、人员构成情况。</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学校机构设置：办公室、教务处、总务处、工会。 </w:t>
      </w:r>
    </w:p>
    <w:p>
      <w:pPr>
        <w:numPr>
          <w:ilvl w:val="0"/>
          <w:numId w:val="0"/>
        </w:numPr>
        <w:ind w:left="0" w:leftChars="0" w:firstLine="838" w:firstLineChars="262"/>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(1)办公室：负责人事、印章、接收上级文件、材料、外联、接洽工作。 </w:t>
      </w:r>
    </w:p>
    <w:p>
      <w:pPr>
        <w:numPr>
          <w:ilvl w:val="0"/>
          <w:numId w:val="0"/>
        </w:numPr>
        <w:ind w:left="0" w:leftChars="0" w:firstLine="84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(2)教务处：负责教务处全面工作，分管学生学籍管理工作。负责教师常规教学管理、教学档案资料的管理、学校场室的管理工作（图书馆、文印室、电脑室、体育室）、教师考勤管理工作。</w:t>
      </w:r>
    </w:p>
    <w:p>
      <w:pPr>
        <w:numPr>
          <w:ilvl w:val="0"/>
          <w:numId w:val="0"/>
        </w:numPr>
        <w:ind w:left="0" w:leftChars="0" w:firstLine="84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(3)总务处： 做好学校各项收费工作，负责师生开饭、学生住宿管理、学校预算内外经费收支、学校公物采购和保管使用工作、学校卫生、防疫、保健、学校基建、绿化、美化工作。</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 工会: 负责做好学校工会的日常工作，负责工会换届选举、困难教职工帮扶、组织教职工开展各种活动、政务、校务公开办公室、工会经费审查、教职工计划生育工作。</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我校为事业单位。2017年度我校共有教师93人，其中在职教师92人，退休教师1人。</w:t>
      </w:r>
    </w:p>
    <w:p>
      <w:pPr>
        <w:numPr>
          <w:ilvl w:val="0"/>
          <w:numId w:val="0"/>
        </w:numPr>
        <w:ind w:firstLine="640"/>
        <w:jc w:val="both"/>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highlight w:val="lightGray"/>
          <w:lang w:val="en-US" w:eastAsia="zh-CN"/>
        </w:rPr>
      </w:pPr>
      <w:r>
        <w:rPr>
          <w:rFonts w:hint="eastAsia" w:ascii="黑体" w:hAnsi="黑体" w:eastAsia="黑体" w:cs="黑体"/>
          <w:sz w:val="32"/>
          <w:szCs w:val="32"/>
          <w:lang w:val="en-US" w:eastAsia="zh-CN"/>
        </w:rPr>
        <w:t xml:space="preserve">   </w:t>
      </w:r>
      <w:r>
        <w:rPr>
          <w:rFonts w:hint="eastAsia" w:ascii="方正小标宋简体" w:hAnsi="方正小标宋简体" w:eastAsia="方正小标宋简体" w:cs="方正小标宋简体"/>
          <w:sz w:val="44"/>
          <w:szCs w:val="44"/>
          <w:lang w:val="en-US" w:eastAsia="zh-CN"/>
        </w:rPr>
        <w:t>第二部分  2017年部门预算表</w:t>
      </w:r>
    </w:p>
    <w:p>
      <w:pPr>
        <w:ind w:firstLine="420" w:firstLineChars="200"/>
        <w:jc w:val="left"/>
      </w:pPr>
    </w:p>
    <w:p>
      <w:pPr>
        <w:jc w:val="both"/>
      </w:pPr>
      <w:r>
        <w:drawing>
          <wp:inline distT="0" distB="0" distL="114300" distR="114300">
            <wp:extent cx="5269230" cy="3731260"/>
            <wp:effectExtent l="0" t="0" r="762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9230" cy="3731260"/>
                    </a:xfrm>
                    <a:prstGeom prst="rect">
                      <a:avLst/>
                    </a:prstGeom>
                    <a:noFill/>
                    <a:ln w="9525">
                      <a:noFill/>
                    </a:ln>
                  </pic:spPr>
                </pic:pic>
              </a:graphicData>
            </a:graphic>
          </wp:inline>
        </w:drawing>
      </w:r>
    </w:p>
    <w:p>
      <w:pPr>
        <w:jc w:val="both"/>
      </w:pPr>
      <w:r>
        <w:drawing>
          <wp:inline distT="0" distB="0" distL="114300" distR="114300">
            <wp:extent cx="5161915" cy="5314315"/>
            <wp:effectExtent l="0" t="0" r="63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161915" cy="5314315"/>
                    </a:xfrm>
                    <a:prstGeom prst="rect">
                      <a:avLst/>
                    </a:prstGeom>
                    <a:noFill/>
                    <a:ln w="9525">
                      <a:noFill/>
                    </a:ln>
                  </pic:spPr>
                </pic:pic>
              </a:graphicData>
            </a:graphic>
          </wp:inline>
        </w:drawing>
      </w:r>
    </w:p>
    <w:p>
      <w:pPr>
        <w:jc w:val="both"/>
      </w:pPr>
      <w:r>
        <w:drawing>
          <wp:inline distT="0" distB="0" distL="114300" distR="114300">
            <wp:extent cx="4323715" cy="5323840"/>
            <wp:effectExtent l="0" t="0" r="635" b="1016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4323715" cy="5323840"/>
                    </a:xfrm>
                    <a:prstGeom prst="rect">
                      <a:avLst/>
                    </a:prstGeom>
                    <a:noFill/>
                    <a:ln w="9525">
                      <a:noFill/>
                    </a:ln>
                  </pic:spPr>
                </pic:pic>
              </a:graphicData>
            </a:graphic>
          </wp:inline>
        </w:drawing>
      </w:r>
    </w:p>
    <w:p>
      <w:pPr>
        <w:jc w:val="both"/>
      </w:pPr>
      <w:r>
        <w:drawing>
          <wp:inline distT="0" distB="0" distL="114300" distR="114300">
            <wp:extent cx="5273675" cy="2095500"/>
            <wp:effectExtent l="0" t="0" r="317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73675" cy="2095500"/>
                    </a:xfrm>
                    <a:prstGeom prst="rect">
                      <a:avLst/>
                    </a:prstGeom>
                    <a:noFill/>
                    <a:ln w="9525">
                      <a:noFill/>
                    </a:ln>
                  </pic:spPr>
                </pic:pic>
              </a:graphicData>
            </a:graphic>
          </wp:inline>
        </w:drawing>
      </w:r>
    </w:p>
    <w:p>
      <w:pPr>
        <w:jc w:val="both"/>
      </w:pPr>
      <w:r>
        <w:drawing>
          <wp:inline distT="0" distB="0" distL="114300" distR="114300">
            <wp:extent cx="5272405" cy="2383155"/>
            <wp:effectExtent l="0" t="0" r="4445" b="171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72405" cy="2383155"/>
                    </a:xfrm>
                    <a:prstGeom prst="rect">
                      <a:avLst/>
                    </a:prstGeom>
                    <a:noFill/>
                    <a:ln w="9525">
                      <a:noFill/>
                    </a:ln>
                  </pic:spPr>
                </pic:pic>
              </a:graphicData>
            </a:graphic>
          </wp:inline>
        </w:drawing>
      </w:r>
    </w:p>
    <w:p>
      <w:pPr>
        <w:jc w:val="both"/>
      </w:pPr>
      <w:r>
        <w:drawing>
          <wp:inline distT="0" distB="0" distL="114300" distR="114300">
            <wp:extent cx="4980940" cy="5514340"/>
            <wp:effectExtent l="0" t="0" r="10160" b="1016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4980940" cy="5514340"/>
                    </a:xfrm>
                    <a:prstGeom prst="rect">
                      <a:avLst/>
                    </a:prstGeom>
                    <a:noFill/>
                    <a:ln w="9525">
                      <a:noFill/>
                    </a:ln>
                  </pic:spPr>
                </pic:pic>
              </a:graphicData>
            </a:graphic>
          </wp:inline>
        </w:drawing>
      </w:r>
      <w:r>
        <w:drawing>
          <wp:inline distT="0" distB="0" distL="114300" distR="114300">
            <wp:extent cx="4990465" cy="5257165"/>
            <wp:effectExtent l="0" t="0" r="635"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4990465" cy="5257165"/>
                    </a:xfrm>
                    <a:prstGeom prst="rect">
                      <a:avLst/>
                    </a:prstGeom>
                    <a:noFill/>
                    <a:ln w="9525">
                      <a:noFill/>
                    </a:ln>
                  </pic:spPr>
                </pic:pic>
              </a:graphicData>
            </a:graphic>
          </wp:inline>
        </w:drawing>
      </w:r>
    </w:p>
    <w:p>
      <w:pPr>
        <w:jc w:val="both"/>
      </w:pPr>
      <w:r>
        <w:drawing>
          <wp:inline distT="0" distB="0" distL="114300" distR="114300">
            <wp:extent cx="5272405" cy="4679315"/>
            <wp:effectExtent l="0" t="0" r="4445" b="698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5272405" cy="4679315"/>
                    </a:xfrm>
                    <a:prstGeom prst="rect">
                      <a:avLst/>
                    </a:prstGeom>
                    <a:noFill/>
                    <a:ln w="9525">
                      <a:noFill/>
                    </a:ln>
                  </pic:spPr>
                </pic:pic>
              </a:graphicData>
            </a:graphic>
          </wp:inline>
        </w:drawing>
      </w:r>
      <w:r>
        <w:drawing>
          <wp:inline distT="0" distB="0" distL="114300" distR="114300">
            <wp:extent cx="5272405" cy="2334260"/>
            <wp:effectExtent l="0" t="0" r="4445" b="889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5272405" cy="2334260"/>
                    </a:xfrm>
                    <a:prstGeom prst="rect">
                      <a:avLst/>
                    </a:prstGeom>
                    <a:noFill/>
                    <a:ln w="9525">
                      <a:noFill/>
                    </a:ln>
                  </pic:spPr>
                </pic:pic>
              </a:graphicData>
            </a:graphic>
          </wp:inline>
        </w:drawing>
      </w:r>
    </w:p>
    <w:p>
      <w:pPr>
        <w:jc w:val="both"/>
      </w:pPr>
      <w:r>
        <w:drawing>
          <wp:inline distT="0" distB="0" distL="114300" distR="114300">
            <wp:extent cx="5271135" cy="5130165"/>
            <wp:effectExtent l="0" t="0" r="5715" b="1333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3"/>
                    <a:stretch>
                      <a:fillRect/>
                    </a:stretch>
                  </pic:blipFill>
                  <pic:spPr>
                    <a:xfrm>
                      <a:off x="0" y="0"/>
                      <a:ext cx="5271135" cy="5130165"/>
                    </a:xfrm>
                    <a:prstGeom prst="rect">
                      <a:avLst/>
                    </a:prstGeom>
                    <a:noFill/>
                    <a:ln w="9525">
                      <a:noFill/>
                    </a:ln>
                  </pic:spPr>
                </pic:pic>
              </a:graphicData>
            </a:graphic>
          </wp:inline>
        </w:drawing>
      </w:r>
    </w:p>
    <w:p>
      <w:pPr>
        <w:jc w:val="both"/>
      </w:pPr>
      <w:r>
        <w:drawing>
          <wp:inline distT="0" distB="0" distL="114300" distR="114300">
            <wp:extent cx="5269230" cy="3117850"/>
            <wp:effectExtent l="0" t="0" r="762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4"/>
                    <a:stretch>
                      <a:fillRect/>
                    </a:stretch>
                  </pic:blipFill>
                  <pic:spPr>
                    <a:xfrm>
                      <a:off x="0" y="0"/>
                      <a:ext cx="5269230" cy="3117850"/>
                    </a:xfrm>
                    <a:prstGeom prst="rect">
                      <a:avLst/>
                    </a:prstGeom>
                    <a:noFill/>
                    <a:ln w="9525">
                      <a:noFill/>
                    </a:ln>
                  </pic:spPr>
                </pic:pic>
              </a:graphicData>
            </a:graphic>
          </wp:inline>
        </w:drawing>
      </w:r>
    </w:p>
    <w:p>
      <w:pPr>
        <w:jc w:val="both"/>
      </w:pPr>
      <w:r>
        <w:drawing>
          <wp:inline distT="0" distB="0" distL="114300" distR="114300">
            <wp:extent cx="5271135" cy="2504440"/>
            <wp:effectExtent l="0" t="0" r="5715" b="1016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5"/>
                    <a:stretch>
                      <a:fillRect/>
                    </a:stretch>
                  </pic:blipFill>
                  <pic:spPr>
                    <a:xfrm>
                      <a:off x="0" y="0"/>
                      <a:ext cx="5271135" cy="2504440"/>
                    </a:xfrm>
                    <a:prstGeom prst="rect">
                      <a:avLst/>
                    </a:prstGeom>
                    <a:noFill/>
                    <a:ln w="9525">
                      <a:noFill/>
                    </a:ln>
                  </pic:spPr>
                </pic:pic>
              </a:graphicData>
            </a:graphic>
          </wp:inline>
        </w:drawing>
      </w:r>
    </w:p>
    <w:p>
      <w:pPr>
        <w:jc w:val="both"/>
      </w:pPr>
      <w:r>
        <w:drawing>
          <wp:inline distT="0" distB="0" distL="114300" distR="114300">
            <wp:extent cx="5267960" cy="2995295"/>
            <wp:effectExtent l="0" t="0" r="8890" b="1460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6"/>
                    <a:stretch>
                      <a:fillRect/>
                    </a:stretch>
                  </pic:blipFill>
                  <pic:spPr>
                    <a:xfrm>
                      <a:off x="0" y="0"/>
                      <a:ext cx="5267960" cy="2995295"/>
                    </a:xfrm>
                    <a:prstGeom prst="rect">
                      <a:avLst/>
                    </a:prstGeom>
                    <a:noFill/>
                    <a:ln w="9525">
                      <a:noFill/>
                    </a:ln>
                  </pic:spPr>
                </pic:pic>
              </a:graphicData>
            </a:graphic>
          </wp:inline>
        </w:drawing>
      </w:r>
      <w:bookmarkStart w:id="0" w:name="_GoBack"/>
      <w:bookmarkEnd w:id="0"/>
    </w:p>
    <w:p>
      <w:pPr>
        <w:jc w:val="both"/>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第三部分  2017年部门预算情况说明</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部门预算收支增减变化情况</w:t>
      </w:r>
    </w:p>
    <w:p>
      <w:pPr>
        <w:numPr>
          <w:ilvl w:val="0"/>
          <w:numId w:val="0"/>
        </w:numPr>
        <w:ind w:firstLine="640"/>
        <w:jc w:val="both"/>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2017年本部门收入预算548万元，比上年增加433万元，增长377%，主要原因是教师学生数逐年增加；支出预算548万元，比上年增加433万元，增长377%，主要原因是教师学生数逐年增加。</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“三公”经费安排情况说明</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本部门“三公”经费预算安排1.84万元，比上年减少0.77万元，下降30%，主要原因是公务接待费减少。其中：因公出国（境）费0万元；公务用车购置及运行费0万元；公务接待费1.84万元，比上年减少1.84万元，下降30%，主要原因是接待人数减少。</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机关运行经费安排情况</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2017年，本部门机关运行经费安排0万元。</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政府采购情况</w:t>
      </w:r>
    </w:p>
    <w:p>
      <w:pPr>
        <w:widowControl w:val="0"/>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2017年本部门政府采购安排0万元。</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国有资产占有使用情况</w:t>
      </w:r>
    </w:p>
    <w:p>
      <w:pPr>
        <w:tabs>
          <w:tab w:val="left" w:pos="8595"/>
        </w:tabs>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截至2016年12月31日，本部门占有使用国有资产总体情况为：368.23元，</w:t>
      </w:r>
      <w:r>
        <w:rPr>
          <w:rFonts w:hint="eastAsia" w:asciiTheme="majorEastAsia" w:hAnsiTheme="majorEastAsia" w:eastAsiaTheme="majorEastAsia" w:cstheme="majorEastAsia"/>
          <w:sz w:val="28"/>
          <w:szCs w:val="28"/>
          <w:lang w:val="en-US" w:eastAsia="zh-CN"/>
        </w:rPr>
        <w:t>分布构成情况为</w:t>
      </w:r>
      <w:r>
        <w:rPr>
          <w:rFonts w:hint="eastAsia" w:ascii="仿宋_GB2312" w:hAnsi="仿宋_GB2312" w:eastAsia="仿宋_GB2312" w:cs="仿宋_GB2312"/>
          <w:sz w:val="28"/>
          <w:szCs w:val="28"/>
          <w:lang w:val="en-US" w:eastAsia="zh-CN"/>
        </w:rPr>
        <w:t>：</w:t>
      </w:r>
      <w:r>
        <w:rPr>
          <w:rFonts w:hint="eastAsia" w:ascii="宋体" w:hAnsi="宋体" w:eastAsia="宋体" w:cs="宋体"/>
          <w:b w:val="0"/>
          <w:bCs/>
          <w:color w:val="000000"/>
          <w:sz w:val="28"/>
          <w:szCs w:val="28"/>
          <w:lang w:eastAsia="zh-CN"/>
        </w:rPr>
        <w:t>其中通用设备</w:t>
      </w:r>
      <w:r>
        <w:rPr>
          <w:rFonts w:hint="eastAsia" w:ascii="宋体" w:hAnsi="宋体" w:eastAsia="宋体" w:cs="宋体"/>
          <w:b w:val="0"/>
          <w:bCs/>
          <w:color w:val="000000"/>
          <w:sz w:val="28"/>
          <w:szCs w:val="28"/>
          <w:lang w:val="en-US" w:eastAsia="zh-CN"/>
        </w:rPr>
        <w:t>38.05</w:t>
      </w:r>
      <w:r>
        <w:rPr>
          <w:rFonts w:hint="eastAsia" w:ascii="宋体" w:hAnsi="宋体" w:eastAsia="宋体" w:cs="宋体"/>
          <w:b w:val="0"/>
          <w:bCs/>
          <w:color w:val="000000"/>
          <w:sz w:val="28"/>
          <w:szCs w:val="28"/>
          <w:lang w:eastAsia="zh-CN"/>
        </w:rPr>
        <w:t>元，专用设备</w:t>
      </w:r>
      <w:r>
        <w:rPr>
          <w:rFonts w:hint="eastAsia" w:ascii="宋体" w:hAnsi="宋体" w:eastAsia="宋体" w:cs="宋体"/>
          <w:b w:val="0"/>
          <w:bCs/>
          <w:color w:val="000000"/>
          <w:sz w:val="28"/>
          <w:szCs w:val="28"/>
          <w:lang w:val="en-US" w:eastAsia="zh-CN"/>
        </w:rPr>
        <w:t>212.29</w:t>
      </w:r>
      <w:r>
        <w:rPr>
          <w:rFonts w:hint="eastAsia" w:ascii="宋体" w:hAnsi="宋体" w:eastAsia="宋体" w:cs="宋体"/>
          <w:b w:val="0"/>
          <w:bCs/>
          <w:color w:val="000000"/>
          <w:sz w:val="28"/>
          <w:szCs w:val="28"/>
          <w:lang w:eastAsia="zh-CN"/>
        </w:rPr>
        <w:t>元，图书档案</w:t>
      </w:r>
      <w:r>
        <w:rPr>
          <w:rFonts w:hint="eastAsia" w:ascii="宋体" w:hAnsi="宋体" w:eastAsia="宋体" w:cs="宋体"/>
          <w:b w:val="0"/>
          <w:bCs/>
          <w:color w:val="000000"/>
          <w:sz w:val="28"/>
          <w:szCs w:val="28"/>
          <w:lang w:val="en-US" w:eastAsia="zh-CN"/>
        </w:rPr>
        <w:t>33.63</w:t>
      </w:r>
      <w:r>
        <w:rPr>
          <w:rFonts w:hint="eastAsia" w:ascii="宋体" w:hAnsi="宋体" w:eastAsia="宋体" w:cs="宋体"/>
          <w:b w:val="0"/>
          <w:bCs/>
          <w:color w:val="000000"/>
          <w:sz w:val="28"/>
          <w:szCs w:val="28"/>
          <w:lang w:eastAsia="zh-CN"/>
        </w:rPr>
        <w:t>元，家具用具装具及动植物</w:t>
      </w:r>
      <w:r>
        <w:rPr>
          <w:rFonts w:hint="eastAsia" w:ascii="宋体" w:hAnsi="宋体" w:eastAsia="宋体" w:cs="宋体"/>
          <w:b w:val="0"/>
          <w:bCs/>
          <w:color w:val="000000"/>
          <w:sz w:val="28"/>
          <w:szCs w:val="28"/>
          <w:lang w:val="en-US" w:eastAsia="zh-CN"/>
        </w:rPr>
        <w:t>84.26</w:t>
      </w:r>
      <w:r>
        <w:rPr>
          <w:rFonts w:hint="eastAsia" w:ascii="宋体" w:hAnsi="宋体" w:eastAsia="宋体" w:cs="宋体"/>
          <w:b w:val="0"/>
          <w:bCs/>
          <w:color w:val="000000"/>
          <w:sz w:val="28"/>
          <w:szCs w:val="28"/>
          <w:lang w:eastAsia="zh-CN"/>
        </w:rPr>
        <w:t>元。</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预算绩效信息公开情况</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2017年，本部门无项目绩效考核。</w:t>
      </w: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楷体_GB2312" w:hAnsi="楷体_GB2312" w:eastAsia="楷体_GB2312" w:cs="楷体_GB2312"/>
          <w:sz w:val="32"/>
          <w:szCs w:val="32"/>
          <w:highlight w:val="lightGray"/>
          <w:lang w:val="en-US" w:eastAsia="zh-CN"/>
        </w:rPr>
      </w:pPr>
      <w:r>
        <w:rPr>
          <w:rFonts w:hint="eastAsia" w:ascii="方正小标宋简体" w:hAnsi="方正小标宋简体" w:eastAsia="方正小标宋简体" w:cs="方正小标宋简体"/>
          <w:sz w:val="44"/>
          <w:szCs w:val="44"/>
          <w:lang w:val="en-US" w:eastAsia="zh-CN"/>
        </w:rPr>
        <w:t>第四部分  名词解释</w:t>
      </w:r>
    </w:p>
    <w:p>
      <w:pPr>
        <w:jc w:val="left"/>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一、财政拨款收入：指市财政当年拨付的资金。</w:t>
      </w:r>
    </w:p>
    <w:p>
      <w:pPr>
        <w:jc w:val="left"/>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 事业收入：指事业单位开展专业业务活动及辅助活动</w:t>
      </w:r>
    </w:p>
    <w:p>
      <w:pPr>
        <w:jc w:val="left"/>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所取得的收入。</w:t>
      </w:r>
    </w:p>
    <w:p>
      <w:pPr>
        <w:jc w:val="left"/>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 经营收入：指事业单位在专业业务活动及其辅助活动</w:t>
      </w:r>
    </w:p>
    <w:p>
      <w:pPr>
        <w:jc w:val="left"/>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之外开展非独立核算经营活动取得的收入。</w:t>
      </w:r>
    </w:p>
    <w:p>
      <w:pPr>
        <w:jc w:val="left"/>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四、其他收入：指除上述“财政拨款收入”、“事业收入”、“经营收入”等以外的收入。</w:t>
      </w:r>
    </w:p>
    <w:p>
      <w:pPr>
        <w:jc w:val="left"/>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五、用事业基金弥补收支差额：指事业单位在当年的“财政拨款收入”、“事业收入”、“经营收入”、“其他收入”等不足以安排当年支出的情况下，使用以前年度积累的事业基金（事业单位当年收支相抵后按国家规定提取、用于弥补以后年度收支差额的基金）弥补本年度收支缺口的资金。</w:t>
      </w:r>
    </w:p>
    <w:p>
      <w:pPr>
        <w:jc w:val="left"/>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六、年初结转和结余：指以前年度尚未完成、结转到本年</w:t>
      </w:r>
    </w:p>
    <w:p>
      <w:pPr>
        <w:jc w:val="left"/>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按有关规定继续使用的资金。</w:t>
      </w:r>
    </w:p>
    <w:p>
      <w:pPr>
        <w:jc w:val="left"/>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七、结余分配：指事业单位按规定提取的职工福利基金、事业基金和缴纳的所得税，以及建设单位按规定应交回的基本建设竣工项目结余资金。</w:t>
      </w:r>
    </w:p>
    <w:p>
      <w:pPr>
        <w:jc w:val="left"/>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八、年末结转和结余:指本年度或以前年度预算安排、因客观条件发生变化无法按原计划实施，需要延迟到以后年度按有关规定继续使用的资金。</w:t>
      </w:r>
    </w:p>
    <w:p>
      <w:pPr>
        <w:jc w:val="left"/>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九、基本支出：指为保障机构正常运转、完成日常工作任务而发生的人员支出和公用支出。</w:t>
      </w:r>
    </w:p>
    <w:p>
      <w:pPr>
        <w:jc w:val="left"/>
        <w:rPr>
          <w:rFonts w:hint="eastAsia" w:ascii="楷体_GB2312" w:hAnsi="楷体_GB2312" w:eastAsia="楷体_GB2312" w:cs="楷体_GB2312"/>
          <w:sz w:val="32"/>
          <w:szCs w:val="32"/>
          <w:highlight w:val="none"/>
          <w:lang w:val="en-US" w:eastAsia="zh-CN"/>
        </w:rPr>
      </w:pPr>
    </w:p>
    <w:p>
      <w:pPr>
        <w:jc w:val="left"/>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十、项目支出： 指在基本支出之外为完成特定行政任务和事业发展目标所发生的支出。</w:t>
      </w:r>
    </w:p>
    <w:p>
      <w:pPr>
        <w:jc w:val="left"/>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十一、经营支出：指事业单位在专业业务活动及其辅助活动之外开展非独立核算经营活动发生的支出。</w:t>
      </w:r>
    </w:p>
    <w:p>
      <w:pPr>
        <w:jc w:val="left"/>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十二、“三公”经费：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 （含车辆购置税） 及租用费、燃料费、维修费、过路过桥费、保险费、安全奖励费用等支出；公务接待费反映单位按规定开支的各类公务接待（含外宾接待）支出。</w:t>
      </w:r>
    </w:p>
    <w:p>
      <w:pPr>
        <w:jc w:val="left"/>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left"/>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十四、支出功能分类的科目的解释，可以参考《2015年政府收支分类科目》对各功能分类科目的解释，再结合各单位的实际解释。例如：一般公共服务（类）财政事务（款）机关服务（项）：指财政部机关服务中心为机关提供文件印制、办公楼日常维修维护等后勤保障服务的支出。</w:t>
      </w:r>
    </w:p>
    <w:p>
      <w:pPr>
        <w:ind w:firstLine="640" w:firstLineChars="200"/>
        <w:jc w:val="left"/>
        <w:rPr>
          <w:rFonts w:hint="eastAsia" w:ascii="仿宋_GB2312" w:hAnsi="仿宋_GB2312" w:eastAsia="仿宋_GB2312" w:cs="仿宋_GB2312"/>
          <w:sz w:val="32"/>
          <w:szCs w:val="32"/>
          <w:highlight w:val="none"/>
          <w:shd w:val="clear" w:color="FFFFFF" w:fill="D9D9D9"/>
          <w:lang w:val="en-US" w:eastAsia="zh-CN"/>
          <w14:textFill>
            <w14:noFill/>
          </w14:textFill>
        </w:rPr>
      </w:pPr>
    </w:p>
    <w:p>
      <w:pPr>
        <w:jc w:val="left"/>
        <w:rPr>
          <w:rFonts w:hint="eastAsia" w:ascii="仿宋_GB2312" w:hAnsi="仿宋_GB2312" w:eastAsia="仿宋_GB2312" w:cs="仿宋_GB2312"/>
          <w:sz w:val="32"/>
          <w:szCs w:val="32"/>
          <w:highlight w:val="none"/>
          <w:shd w:val="clear" w:color="FFFFFF" w:fill="D9D9D9"/>
          <w:lang w:val="en-US" w:eastAsia="zh-CN"/>
          <w14:textFill>
            <w14:noFill/>
          </w14:textFill>
        </w:rPr>
      </w:pPr>
    </w:p>
    <w:p>
      <w:pPr>
        <w:ind w:firstLine="640" w:firstLineChars="200"/>
        <w:jc w:val="left"/>
        <w:rPr>
          <w:rFonts w:hint="eastAsia" w:ascii="仿宋_GB2312" w:hAnsi="仿宋_GB2312" w:eastAsia="仿宋_GB2312" w:cs="仿宋_GB2312"/>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2250"/>
    <w:multiLevelType w:val="singleLevel"/>
    <w:tmpl w:val="5A5F2250"/>
    <w:lvl w:ilvl="0" w:tentative="0">
      <w:start w:val="1"/>
      <w:numFmt w:val="chineseCounting"/>
      <w:suff w:val="nothing"/>
      <w:lvlText w:val="%1、"/>
      <w:lvlJc w:val="left"/>
    </w:lvl>
  </w:abstractNum>
  <w:abstractNum w:abstractNumId="1">
    <w:nsid w:val="5A5F2384"/>
    <w:multiLevelType w:val="singleLevel"/>
    <w:tmpl w:val="5A5F2384"/>
    <w:lvl w:ilvl="0" w:tentative="0">
      <w:start w:val="1"/>
      <w:numFmt w:val="chineseCounting"/>
      <w:suff w:val="nothing"/>
      <w:lvlText w:val="%1、"/>
      <w:lvlJc w:val="left"/>
    </w:lvl>
  </w:abstractNum>
  <w:abstractNum w:abstractNumId="2">
    <w:nsid w:val="5A5F2A51"/>
    <w:multiLevelType w:val="singleLevel"/>
    <w:tmpl w:val="5A5F2A51"/>
    <w:lvl w:ilvl="0" w:tentative="0">
      <w:start w:val="1"/>
      <w:numFmt w:val="chineseCounting"/>
      <w:suff w:val="nothing"/>
      <w:lvlText w:val="%1、"/>
      <w:lvlJc w:val="left"/>
    </w:lvl>
  </w:abstractNum>
  <w:abstractNum w:abstractNumId="3">
    <w:nsid w:val="5A5F2BFF"/>
    <w:multiLevelType w:val="singleLevel"/>
    <w:tmpl w:val="5A5F2BFF"/>
    <w:lvl w:ilvl="0" w:tentative="0">
      <w:start w:val="1"/>
      <w:numFmt w:val="chineseCounting"/>
      <w:suff w:val="nothing"/>
      <w:lvlText w:val="（%1）"/>
      <w:lvlJc w:val="left"/>
    </w:lvl>
  </w:abstractNum>
  <w:abstractNum w:abstractNumId="4">
    <w:nsid w:val="5A600927"/>
    <w:multiLevelType w:val="singleLevel"/>
    <w:tmpl w:val="5A600927"/>
    <w:lvl w:ilvl="0" w:tentative="0">
      <w:start w:val="1"/>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743CE3"/>
    <w:rsid w:val="13016A31"/>
    <w:rsid w:val="1BB46A50"/>
    <w:rsid w:val="20EE6A13"/>
    <w:rsid w:val="246C400C"/>
    <w:rsid w:val="33815357"/>
    <w:rsid w:val="340178E0"/>
    <w:rsid w:val="36E602DD"/>
    <w:rsid w:val="42911570"/>
    <w:rsid w:val="467E4077"/>
    <w:rsid w:val="471F14DE"/>
    <w:rsid w:val="48BB1D88"/>
    <w:rsid w:val="4AD3740E"/>
    <w:rsid w:val="4F6B7520"/>
    <w:rsid w:val="50225FF8"/>
    <w:rsid w:val="50CB6A87"/>
    <w:rsid w:val="595F0183"/>
    <w:rsid w:val="59D86ECF"/>
    <w:rsid w:val="5B7E1F0E"/>
    <w:rsid w:val="5B970A4B"/>
    <w:rsid w:val="608D4475"/>
    <w:rsid w:val="60E37A9B"/>
    <w:rsid w:val="63655290"/>
    <w:rsid w:val="66D06120"/>
    <w:rsid w:val="6D9B07DA"/>
    <w:rsid w:val="79FF4F9C"/>
    <w:rsid w:val="7A3D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huangzj</dc:creator>
  <cp:lastModifiedBy>Administrator</cp:lastModifiedBy>
  <cp:lastPrinted>2018-02-09T07:39:00Z</cp:lastPrinted>
  <dcterms:modified xsi:type="dcterms:W3CDTF">2018-03-30T07:51:02Z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