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罗定市疾控中心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部门预算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2016</w:t>
      </w:r>
      <w:r>
        <w:rPr>
          <w:rFonts w:hint="eastAsia" w:ascii="黑体" w:hAnsi="黑体" w:eastAsia="黑体" w:cs="黑体"/>
          <w:sz w:val="32"/>
          <w:szCs w:val="32"/>
        </w:rPr>
        <w:t>（部门名称）概况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2016</w:t>
      </w:r>
      <w:r>
        <w:rPr>
          <w:rFonts w:hint="eastAsia" w:ascii="黑体" w:hAnsi="黑体" w:eastAsia="黑体" w:cs="黑体"/>
          <w:sz w:val="32"/>
          <w:szCs w:val="32"/>
        </w:rPr>
        <w:t>年部门预算表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支出总体情况表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部门预算基本支出预算表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部门预算项目支出及其他支出预算表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2016</w:t>
      </w:r>
      <w:r>
        <w:rPr>
          <w:rFonts w:hint="eastAsia" w:ascii="黑体" w:hAnsi="黑体" w:eastAsia="黑体" w:cs="黑体"/>
          <w:sz w:val="32"/>
          <w:szCs w:val="32"/>
        </w:rPr>
        <w:t>年部门预算情况说明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名词解释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疾控中心概况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一、部门基本情况、主要职责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（一）部门机构设置、职能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中心内设办公室、后勤科、计财科、计免科、职卫科、慢非科、艾防科、检验科等职能科室。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（二）人员构成情况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编制人数106人，实有在职人数97人，离退休30人。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纳入统发工资人数127人，其中：在职97人，离退休30人。</w:t>
      </w:r>
    </w:p>
    <w:p>
      <w:pPr>
        <w:spacing w:line="288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本部门没有下属下单位。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3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="517" w:tblpY="-5783"/>
        <w:tblOverlap w:val="never"/>
        <w:tblW w:w="11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4"/>
        <w:gridCol w:w="1836"/>
        <w:gridCol w:w="2089"/>
        <w:gridCol w:w="4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4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10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41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</w:p>
        </w:tc>
        <w:tc>
          <w:tcPr>
            <w:tcW w:w="68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4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6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104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1"/>
        <w:gridCol w:w="1859"/>
        <w:gridCol w:w="4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874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874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2511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29" w:type="dxa"/>
            <w:gridSpan w:val="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8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4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16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4"/>
        <w:gridCol w:w="1508"/>
        <w:gridCol w:w="1137"/>
        <w:gridCol w:w="2700"/>
        <w:gridCol w:w="300"/>
        <w:gridCol w:w="5289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290" w:hRule="atLeast"/>
        </w:trPr>
        <w:tc>
          <w:tcPr>
            <w:tcW w:w="828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496" w:hRule="atLeast"/>
        </w:trPr>
        <w:tc>
          <w:tcPr>
            <w:tcW w:w="828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2" w:hRule="atLeast"/>
        </w:trPr>
        <w:tc>
          <w:tcPr>
            <w:tcW w:w="4152" w:type="dxa"/>
            <w:gridSpan w:val="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137" w:type="dxa"/>
            <w:gridSpan w:val="3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82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69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38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38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345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495" w:hRule="atLeast"/>
        </w:trPr>
        <w:tc>
          <w:tcPr>
            <w:tcW w:w="828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989" w:type="dxa"/>
          <w:trHeight w:val="495" w:hRule="atLeast"/>
        </w:trPr>
        <w:tc>
          <w:tcPr>
            <w:tcW w:w="828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89" w:type="dxa"/>
            <w:gridSpan w:val="3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700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9" w:type="dxa"/>
            <w:gridSpan w:val="3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700" w:type="dxa"/>
          <w:trHeight w:val="495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98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8"/>
        <w:gridCol w:w="1180"/>
        <w:gridCol w:w="1300"/>
        <w:gridCol w:w="2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4" w:type="dxa"/>
            <w:gridSpan w:val="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5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 基本支出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 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[20104]发展与改革事务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[2010499]其他发展与改革事务支出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[205]教育支出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9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6"/>
        <w:gridCol w:w="3279"/>
        <w:gridCol w:w="2761"/>
        <w:gridCol w:w="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411" w:hRule="atLeast"/>
        </w:trPr>
        <w:tc>
          <w:tcPr>
            <w:tcW w:w="335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851" w:hRule="atLeast"/>
        </w:trPr>
        <w:tc>
          <w:tcPr>
            <w:tcW w:w="939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335" w:hRule="atLeast"/>
        </w:trPr>
        <w:tc>
          <w:tcPr>
            <w:tcW w:w="3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79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09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</w:t>
            </w:r>
            <w:r>
              <w:rPr>
                <w:rStyle w:val="4"/>
                <w:lang w:val="en-US" w:eastAsia="zh-CN" w:bidi="ar"/>
              </w:rPr>
              <w:t>12]其他社会保障缴费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4" w:type="dxa"/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[30311]住房公积金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1"/>
        <w:gridCol w:w="1615"/>
        <w:gridCol w:w="1589"/>
        <w:gridCol w:w="3125"/>
        <w:gridCol w:w="237"/>
        <w:gridCol w:w="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424" w:hRule="atLeast"/>
        </w:trPr>
        <w:tc>
          <w:tcPr>
            <w:tcW w:w="2901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6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878" w:hRule="atLeast"/>
        </w:trPr>
        <w:tc>
          <w:tcPr>
            <w:tcW w:w="946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345" w:hRule="atLeast"/>
        </w:trPr>
        <w:tc>
          <w:tcPr>
            <w:tcW w:w="29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204" w:type="dxa"/>
            <w:gridSpan w:val="2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994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67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54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rHeight w:val="680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230" w:type="dxa"/>
            <w:gridSpan w:val="4"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70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16" w:type="dxa"/>
            <w:gridSpan w:val="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89" w:type="dxa"/>
            <w:gridSpan w:val="4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4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8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2"/>
        <w:gridCol w:w="2250"/>
        <w:gridCol w:w="1123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7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877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22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25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877" w:type="dxa"/>
            <w:gridSpan w:val="4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1225"/>
        <w:gridCol w:w="949"/>
        <w:gridCol w:w="949"/>
        <w:gridCol w:w="1039"/>
        <w:gridCol w:w="929"/>
        <w:gridCol w:w="2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29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968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29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</w:p>
        </w:tc>
        <w:tc>
          <w:tcPr>
            <w:tcW w:w="122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2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罗定市疾控中心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pPr w:leftFromText="180" w:rightFromText="180" w:vertAnchor="text" w:horzAnchor="page" w:tblpX="503" w:tblpY="1994"/>
        <w:tblOverlap w:val="never"/>
        <w:tblW w:w="10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3"/>
        <w:gridCol w:w="1053"/>
        <w:gridCol w:w="925"/>
        <w:gridCol w:w="926"/>
        <w:gridCol w:w="904"/>
        <w:gridCol w:w="904"/>
        <w:gridCol w:w="904"/>
        <w:gridCol w:w="2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93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078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5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</w:p>
        </w:tc>
        <w:tc>
          <w:tcPr>
            <w:tcW w:w="1053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罗定市疾控中心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疾控事业费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饮水安全督导检查费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公共卫生突发事件应急费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其他专项经费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2016年部门预算情况说明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2016年本部门收入预算872万元，比上年略减，主要原因是人员、工资、职业年金等方面有变动；支出预算872万元，比上年略减，主要原因是人员、工资等方面有变动。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2016年本部门“三公”经费预算安排14.7万元，其中：公务用车运行费11.8万元，根据标准基本变化不大；公务接待费2.8元，与上年对比略减，主要原因是</w:t>
      </w:r>
      <w:r>
        <w:rPr>
          <w:rFonts w:hint="eastAsia" w:ascii="仿宋_GB2312" w:eastAsia="仿宋_GB2312"/>
          <w:sz w:val="32"/>
          <w:szCs w:val="32"/>
        </w:rPr>
        <w:t>认真贯彻落实中央“八项规定”精神和厉行节约的要求，从严控制“三公”经费开支，全年实际支出比预算有所节约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截至2016年12月31日，我中心使用车辆情况，共有车辆7辆，其中：一般公务用车7辆等。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2016年，本部门机关运行经费安排215万元，比上年减少5万元，减少0.2%，</w:t>
      </w:r>
      <w:r>
        <w:rPr>
          <w:rFonts w:hint="eastAsia" w:ascii="仿宋_GB2312" w:eastAsia="仿宋_GB2312"/>
          <w:sz w:val="32"/>
          <w:szCs w:val="32"/>
        </w:rPr>
        <w:t>从严控制经费开支</w:t>
      </w:r>
      <w:r>
        <w:rPr>
          <w:rFonts w:hint="eastAsia" w:ascii="仿宋_GB2312" w:eastAsia="仿宋_GB2312"/>
          <w:sz w:val="32"/>
          <w:szCs w:val="32"/>
          <w:lang w:eastAsia="zh-CN"/>
        </w:rPr>
        <w:t>，以节约为本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。其中：办公费40万，印刷费8万，邮电费6万，差旅费3万，日常维修费10万，办公用房水电费17万，公务用车运行维护费12万，手续费1万，租赁费4万，培训费5万，其他支出87.5万等。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*财政补助收入：事业单位从同级财政部门取得和各类财政拨款，包括基本支出补助和项目支出补助。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*本年收入：是指单位当年在日常活动中形成的、会导致所有者权益增加的、与所有者投入资本无关的经济利益的总流入。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社保保障和就业支出：社会保障和就业支出主要包括以下项目：社会保险基金补助支出、行政事业单位离退休支出、就业补助支出、城市居民最低生活保障支出、农村最低生活保障支出、自然灾害生活救助支出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*医疗卫生与计划生育支出：反映政府医疗卫生方面的支出，具体包括医疗卫生管理事务、公立医院、基层医疗卫生机构支出、公共卫生、医疗保障、中医药、食品和药品监督管理事务、计划生育等。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F3FE78"/>
    <w:multiLevelType w:val="singleLevel"/>
    <w:tmpl w:val="5AF3FE78"/>
    <w:lvl w:ilvl="0" w:tentative="0">
      <w:start w:val="2"/>
      <w:numFmt w:val="chineseCounting"/>
      <w:suff w:val="nothing"/>
      <w:lvlText w:val="第%1部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B72C5"/>
    <w:rsid w:val="16313EE7"/>
    <w:rsid w:val="315364F9"/>
    <w:rsid w:val="393C050E"/>
    <w:rsid w:val="3A0B72C5"/>
    <w:rsid w:val="4A812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2018-04-04T08:59:00Z</dcterms:created>
  <dc:creator>小巫婆</dc:creator>
  <cp:lastModifiedBy>小巫婆</cp:lastModifiedBy>
  <dcterms:modified xsi:type="dcterms:W3CDTF">2018-05-10T07:57:39Z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