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2016年</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苹塘镇中心小学部门预算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第一部分  苹塘镇中心小学概况</w:t>
      </w:r>
    </w:p>
    <w:p>
      <w:pPr>
        <w:numPr>
          <w:ilvl w:val="0"/>
          <w:numId w:val="1"/>
        </w:num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主要职责</w:t>
      </w:r>
    </w:p>
    <w:p>
      <w:pPr>
        <w:numPr>
          <w:ilvl w:val="0"/>
          <w:numId w:val="1"/>
        </w:num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  苹塘镇中心小学16年部门预算表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收支总体情况表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收入总体情况表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支出总体情况表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财政拨款收支总体情况表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一般公共预算支出情况表（按功能分类科目）</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一般公共预算基本支出情况表（按支出经济分类科目）</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一般公共预算项目支出情况表（按支出经济分类科目）</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一般公共预算安排的行政经费及“三公”经费预算表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政府性基金预算支出情况表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部门预算基本支出预算表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2016年部门预算情况说明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苹塘镇中心小学概况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spacing w:line="500" w:lineRule="exact"/>
        <w:ind w:firstLine="640" w:firstLineChars="200"/>
        <w:rPr>
          <w:rFonts w:ascii="FangSong_GB2312" w:hAnsi="FangSong_GB2312" w:eastAsia="FangSong_GB2312"/>
          <w:color w:val="000000"/>
          <w:sz w:val="28"/>
          <w:szCs w:val="28"/>
        </w:rPr>
      </w:pPr>
      <w:r>
        <w:rPr>
          <w:rFonts w:hint="eastAsia" w:ascii="FangSong_GB2312" w:eastAsia="FangSong_GB2312"/>
          <w:sz w:val="32"/>
          <w:szCs w:val="32"/>
        </w:rPr>
        <w:t>苹塘镇中心小学是主管</w:t>
      </w:r>
      <w:r>
        <w:rPr>
          <w:rFonts w:hint="eastAsia" w:ascii="FangSong_GB2312" w:eastAsia="FangSong_GB2312"/>
          <w:bCs/>
          <w:sz w:val="32"/>
          <w:szCs w:val="32"/>
        </w:rPr>
        <w:t>教</w:t>
      </w:r>
      <w:r>
        <w:rPr>
          <w:rFonts w:hint="eastAsia" w:ascii="FangSong_GB2312" w:eastAsia="FangSong_GB2312"/>
          <w:sz w:val="32"/>
          <w:szCs w:val="32"/>
        </w:rPr>
        <w:t>育工作的职能部门。主要职责：实施小学义务教育，促进基础教育发展</w:t>
      </w:r>
      <w:r>
        <w:rPr>
          <w:rFonts w:ascii="Arial" w:hAnsi="Arial" w:cs="Arial"/>
          <w:color w:val="000000"/>
          <w:kern w:val="0"/>
          <w:sz w:val="28"/>
          <w:szCs w:val="28"/>
        </w:rPr>
        <w:t>。</w:t>
      </w:r>
    </w:p>
    <w:p>
      <w:pPr>
        <w:ind w:firstLine="640"/>
        <w:rPr>
          <w:rFonts w:ascii="FangSong_GB2312" w:hAnsi="FangSong_GB2312" w:eastAsia="FangSong_GB2312" w:cs="FangSong_GB2312"/>
          <w:sz w:val="32"/>
          <w:szCs w:val="32"/>
        </w:rPr>
      </w:pPr>
    </w:p>
    <w:p>
      <w:pPr>
        <w:rPr>
          <w:rFonts w:ascii="黑体" w:hAnsi="黑体" w:eastAsia="黑体" w:cs="黑体"/>
          <w:sz w:val="32"/>
          <w:szCs w:val="32"/>
        </w:rPr>
      </w:pPr>
      <w:r>
        <w:rPr>
          <w:rFonts w:hint="eastAsia" w:ascii="黑体" w:hAnsi="黑体" w:eastAsia="黑体" w:cs="黑体"/>
          <w:sz w:val="32"/>
          <w:szCs w:val="32"/>
        </w:rPr>
        <w:t xml:space="preserve">    二、机构设置</w:t>
      </w:r>
    </w:p>
    <w:p>
      <w:pPr>
        <w:spacing w:line="288" w:lineRule="auto"/>
        <w:ind w:firstLine="640" w:firstLineChars="200"/>
        <w:rPr>
          <w:rFonts w:ascii="FangSong_GB2312" w:hAnsi="FangSong_GB2312" w:eastAsia="FangSong_GB2312" w:cs="FangSong_GB2312"/>
          <w:sz w:val="32"/>
          <w:szCs w:val="32"/>
        </w:rPr>
      </w:pPr>
      <w:r>
        <w:rPr>
          <w:rFonts w:hint="eastAsia" w:ascii="FangSong_GB2312" w:eastAsia="FangSong_GB2312"/>
          <w:sz w:val="32"/>
          <w:szCs w:val="32"/>
        </w:rPr>
        <w:t>（一）按照部门决算编报要求，纳入苹塘镇中心小学2016年部门决算编报范围的单位共19个，包括完全小学1所,教学点18个。</w:t>
      </w:r>
    </w:p>
    <w:p>
      <w:pPr>
        <w:spacing w:line="52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(二)本部门内设机构、人员构成情况：本部门内设机构、人员构成情况：编制人数 283人，其中：行政编制0人，事业编制212　　人，工勤人员　1　人。</w:t>
      </w:r>
    </w:p>
    <w:p>
      <w:pPr>
        <w:spacing w:line="52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实有人数  304人，其中：在职 203人，离退休80 人，其他人员 21 人。 　</w:t>
      </w:r>
    </w:p>
    <w:p>
      <w:pPr>
        <w:spacing w:line="52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纳入统发工资人数 283人，其中：在职 203  人，离退休80  人。 　</w:t>
      </w:r>
    </w:p>
    <w:p>
      <w:pPr>
        <w:spacing w:line="52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非统发工资人数 32 人，其中：在职 32  人，离退休 0 人，其他人员  0 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2016年部门预算表</w:t>
      </w:r>
    </w:p>
    <w:p>
      <w:pPr>
        <w:jc w:val="center"/>
        <w:rPr>
          <w:rFonts w:ascii="方正小标宋简体" w:hAnsi="方正小标宋简体" w:eastAsia="方正小标宋简体" w:cs="方正小标宋简体"/>
          <w:sz w:val="44"/>
          <w:szCs w:val="44"/>
        </w:rPr>
      </w:pPr>
      <w:r>
        <w:drawing>
          <wp:inline distT="0" distB="0" distL="0" distR="0">
            <wp:extent cx="5274310" cy="315531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155634"/>
                    </a:xfrm>
                    <a:prstGeom prst="rect">
                      <a:avLst/>
                    </a:prstGeom>
                    <a:noFill/>
                    <a:ln>
                      <a:noFill/>
                    </a:ln>
                  </pic:spPr>
                </pic:pic>
              </a:graphicData>
            </a:graphic>
          </wp:inline>
        </w:drawing>
      </w:r>
      <w:r>
        <w:drawing>
          <wp:inline distT="0" distB="0" distL="0" distR="0">
            <wp:extent cx="5143500" cy="5657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43500" cy="5657850"/>
                    </a:xfrm>
                    <a:prstGeom prst="rect">
                      <a:avLst/>
                    </a:prstGeom>
                    <a:noFill/>
                    <a:ln>
                      <a:noFill/>
                    </a:ln>
                  </pic:spPr>
                </pic:pic>
              </a:graphicData>
            </a:graphic>
          </wp:inline>
        </w:drawing>
      </w:r>
    </w:p>
    <w:p/>
    <w:p>
      <w:r>
        <w:drawing>
          <wp:inline distT="0" distB="0" distL="0" distR="0">
            <wp:extent cx="5029200" cy="79343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29200" cy="7934325"/>
                    </a:xfrm>
                    <a:prstGeom prst="rect">
                      <a:avLst/>
                    </a:prstGeom>
                    <a:noFill/>
                    <a:ln>
                      <a:noFill/>
                    </a:ln>
                  </pic:spPr>
                </pic:pic>
              </a:graphicData>
            </a:graphic>
          </wp:inline>
        </w:drawing>
      </w:r>
    </w:p>
    <w:p/>
    <w:p/>
    <w:p>
      <w:r>
        <w:drawing>
          <wp:inline distT="0" distB="0" distL="0" distR="0">
            <wp:extent cx="5274310" cy="1811655"/>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1812080"/>
                    </a:xfrm>
                    <a:prstGeom prst="rect">
                      <a:avLst/>
                    </a:prstGeom>
                    <a:noFill/>
                    <a:ln>
                      <a:noFill/>
                    </a:ln>
                  </pic:spPr>
                </pic:pic>
              </a:graphicData>
            </a:graphic>
          </wp:inline>
        </w:drawing>
      </w:r>
    </w:p>
    <w:p/>
    <w:p>
      <w:r>
        <w:drawing>
          <wp:inline distT="0" distB="0" distL="0" distR="0">
            <wp:extent cx="5274310" cy="2696845"/>
            <wp:effectExtent l="0" t="0" r="2540" b="825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697332"/>
                    </a:xfrm>
                    <a:prstGeom prst="rect">
                      <a:avLst/>
                    </a:prstGeom>
                    <a:noFill/>
                    <a:ln>
                      <a:noFill/>
                    </a:ln>
                  </pic:spPr>
                </pic:pic>
              </a:graphicData>
            </a:graphic>
          </wp:inline>
        </w:drawing>
      </w:r>
    </w:p>
    <w:p/>
    <w:p/>
    <w:p>
      <w:pPr>
        <w:sectPr>
          <w:pgSz w:w="11906" w:h="16838"/>
          <w:pgMar w:top="1440" w:right="1800" w:bottom="1440" w:left="1800" w:header="851" w:footer="992" w:gutter="0"/>
          <w:cols w:space="425" w:num="1"/>
          <w:docGrid w:type="lines" w:linePitch="312" w:charSpace="0"/>
        </w:sectPr>
      </w:pPr>
      <w:bookmarkStart w:id="0" w:name="_GoBack"/>
      <w:r>
        <w:drawing>
          <wp:inline distT="0" distB="0" distL="0" distR="0">
            <wp:extent cx="5274310" cy="10158095"/>
            <wp:effectExtent l="0" t="0" r="2540" b="146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10158718"/>
                    </a:xfrm>
                    <a:prstGeom prst="rect">
                      <a:avLst/>
                    </a:prstGeom>
                    <a:noFill/>
                    <a:ln>
                      <a:noFill/>
                    </a:ln>
                  </pic:spPr>
                </pic:pic>
              </a:graphicData>
            </a:graphic>
          </wp:inline>
        </w:drawing>
      </w:r>
      <w:bookmarkEnd w:id="0"/>
    </w:p>
    <w:p>
      <w:r>
        <w:drawing>
          <wp:inline distT="0" distB="0" distL="0" distR="0">
            <wp:extent cx="5274310" cy="6877050"/>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6877423"/>
                    </a:xfrm>
                    <a:prstGeom prst="rect">
                      <a:avLst/>
                    </a:prstGeom>
                    <a:noFill/>
                    <a:ln>
                      <a:noFill/>
                    </a:ln>
                  </pic:spPr>
                </pic:pic>
              </a:graphicData>
            </a:graphic>
          </wp:inline>
        </w:drawing>
      </w:r>
    </w:p>
    <w:p/>
    <w:p/>
    <w:p>
      <w:r>
        <w:drawing>
          <wp:inline distT="0" distB="0" distL="0" distR="0">
            <wp:extent cx="5274310" cy="5469890"/>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5469933"/>
                    </a:xfrm>
                    <a:prstGeom prst="rect">
                      <a:avLst/>
                    </a:prstGeom>
                    <a:noFill/>
                    <a:ln>
                      <a:noFill/>
                    </a:ln>
                  </pic:spPr>
                </pic:pic>
              </a:graphicData>
            </a:graphic>
          </wp:inline>
        </w:drawing>
      </w:r>
    </w:p>
    <w:p/>
    <w:p>
      <w:r>
        <w:drawing>
          <wp:inline distT="0" distB="0" distL="0" distR="0">
            <wp:extent cx="5274310" cy="3112135"/>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3112279"/>
                    </a:xfrm>
                    <a:prstGeom prst="rect">
                      <a:avLst/>
                    </a:prstGeom>
                    <a:noFill/>
                    <a:ln>
                      <a:noFill/>
                    </a:ln>
                  </pic:spPr>
                </pic:pic>
              </a:graphicData>
            </a:graphic>
          </wp:inline>
        </w:drawing>
      </w:r>
    </w:p>
    <w:p>
      <w:r>
        <w:rPr>
          <w:rFonts w:hint="eastAsia"/>
        </w:rPr>
        <w:drawing>
          <wp:inline distT="0" distB="0" distL="0" distR="0">
            <wp:extent cx="5274310" cy="4250055"/>
            <wp:effectExtent l="0" t="0" r="254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4250434"/>
                    </a:xfrm>
                    <a:prstGeom prst="rect">
                      <a:avLst/>
                    </a:prstGeom>
                    <a:noFill/>
                    <a:ln>
                      <a:noFill/>
                    </a:ln>
                  </pic:spPr>
                </pic:pic>
              </a:graphicData>
            </a:graphic>
          </wp:inline>
        </w:drawing>
      </w:r>
    </w:p>
    <w:p/>
    <w:p/>
    <w:p/>
    <w:p>
      <w:pPr>
        <w:sectPr>
          <w:pgSz w:w="11906" w:h="16838"/>
          <w:pgMar w:top="1440" w:right="1800" w:bottom="1440" w:left="1800" w:header="851" w:footer="992" w:gutter="0"/>
          <w:cols w:space="425" w:num="1"/>
          <w:docGrid w:type="lines" w:linePitch="312" w:charSpace="0"/>
        </w:sectPr>
      </w:pPr>
      <w:r>
        <w:drawing>
          <wp:inline distT="0" distB="0" distL="0" distR="0">
            <wp:extent cx="5274310" cy="4663440"/>
            <wp:effectExtent l="0" t="0" r="254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4663600"/>
                    </a:xfrm>
                    <a:prstGeom prst="rect">
                      <a:avLst/>
                    </a:prstGeom>
                    <a:noFill/>
                    <a:ln>
                      <a:noFill/>
                    </a:ln>
                  </pic:spPr>
                </pic:pic>
              </a:graphicData>
            </a:graphic>
          </wp:inline>
        </w:drawing>
      </w:r>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2016年部门预算情况说明</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2016年本部门收入预算2015万元，比上年减少7万元，下降0.3%，与上年几乎保持一致）；支出预算2015万元，比上年减少7万元，下降0.3%，主要原因是房屋建筑及维修的减少。</w:t>
      </w:r>
    </w:p>
    <w:p>
      <w:pPr>
        <w:ind w:firstLine="640"/>
        <w:rPr>
          <w:rFonts w:ascii="黑体" w:hAnsi="黑体" w:eastAsia="黑体" w:cs="黑体"/>
          <w:sz w:val="32"/>
          <w:szCs w:val="32"/>
        </w:rPr>
      </w:pPr>
      <w:r>
        <w:rPr>
          <w:rFonts w:hint="eastAsia" w:ascii="黑体" w:hAnsi="黑体" w:eastAsia="黑体" w:cs="黑体"/>
          <w:sz w:val="32"/>
          <w:szCs w:val="32"/>
        </w:rPr>
        <w:t xml:space="preserve"> “三公”经费安排情况说明</w:t>
      </w:r>
    </w:p>
    <w:p>
      <w:p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2016年本部门“三公”经费预算安排1.6万元，比上年减少0.04万元，下降2.4%，主要原因是</w:t>
      </w:r>
      <w:r>
        <w:rPr>
          <w:rFonts w:hint="eastAsia" w:ascii="FangSong_GB2312" w:eastAsia="FangSong_GB2312"/>
          <w:sz w:val="32"/>
          <w:szCs w:val="32"/>
        </w:rPr>
        <w:t>是认真贯彻落实中央“八项规定”精神和厉行节约的要求，从严控制“三公”经费开支</w:t>
      </w:r>
      <w:r>
        <w:rPr>
          <w:rFonts w:hint="eastAsia" w:ascii="FangSong_GB2312" w:hAnsi="FangSong_GB2312" w:eastAsia="FangSong_GB2312" w:cs="FangSong_GB2312"/>
          <w:sz w:val="32"/>
          <w:szCs w:val="32"/>
        </w:rPr>
        <w:t>。其中：公务接待费1.6万元，比上年减少0.04万元，下降2.4%，主要原因是</w:t>
      </w:r>
      <w:r>
        <w:rPr>
          <w:rFonts w:hint="eastAsia" w:ascii="FangSong_GB2312" w:eastAsia="FangSong_GB2312"/>
          <w:sz w:val="32"/>
          <w:szCs w:val="32"/>
        </w:rPr>
        <w:t>是认真贯彻落实中央“八项规定”精神和厉行节约的要求，从严控制“三公”经费开支</w:t>
      </w:r>
      <w:r>
        <w:rPr>
          <w:rFonts w:hint="eastAsia" w:ascii="FangSong_GB2312" w:hAnsi="FangSong_GB2312" w:eastAsia="FangSong_GB2312" w:cs="FangSong_GB2312"/>
          <w:sz w:val="32"/>
          <w:szCs w:val="32"/>
        </w:rPr>
        <w:t>。</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2016年，本部门机关运行经费安排347万元，比上年增加63万元，上升18%，主要原因是办公费及其他费用的增加。其中：办公费159.32万元，印刷费14.9万元，邮电费5.65万元，差旅费2.51万元，会议费0万元，福利费0万元，日常维修费45.6万元，办公用房水电费</w:t>
      </w:r>
      <w:r>
        <w:rPr>
          <w:rFonts w:hint="eastAsia" w:ascii="FangSong_GB2312" w:hAnsi="FangSong_GB2312" w:eastAsia="FangSong_GB2312" w:cs="FangSong_GB2312"/>
          <w:sz w:val="32"/>
          <w:szCs w:val="32"/>
          <w:lang w:val="en-US" w:eastAsia="zh-CN"/>
        </w:rPr>
        <w:t>9</w:t>
      </w:r>
      <w:r>
        <w:rPr>
          <w:rFonts w:hint="eastAsia" w:ascii="FangSong_GB2312" w:hAnsi="FangSong_GB2312" w:eastAsia="FangSong_GB2312" w:cs="FangSong_GB2312"/>
          <w:sz w:val="32"/>
          <w:szCs w:val="32"/>
        </w:rPr>
        <w:t>万元，办公用房取暖费0万元，办公用房物业管理费0万元，公务用车运行维护费0万元等。</w:t>
      </w:r>
    </w:p>
    <w:p>
      <w:pPr>
        <w:rPr>
          <w:rFonts w:ascii="FangSong_GB2312" w:hAnsi="FangSong_GB2312" w:eastAsia="FangSong_GB2312" w:cs="FangSong_GB2312"/>
          <w:sz w:val="32"/>
          <w:szCs w:val="32"/>
        </w:rPr>
      </w:pP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w:t>
      </w:r>
      <w:r>
        <w:rPr>
          <w:rFonts w:hint="eastAsia" w:ascii="FangSong_GB2312" w:hAnsi="FangSong_GB2312" w:eastAsia="FangSong_GB2312" w:cs="FangSong_GB2312"/>
          <w:sz w:val="32"/>
          <w:szCs w:val="32"/>
          <w:lang w:val="en-US" w:eastAsia="zh-CN"/>
        </w:rPr>
        <w:t>2016</w:t>
      </w:r>
      <w:r>
        <w:rPr>
          <w:rFonts w:hint="eastAsia" w:ascii="FangSong_GB2312" w:hAnsi="FangSong_GB2312" w:eastAsia="FangSong_GB2312" w:cs="FangSong_GB2312"/>
          <w:sz w:val="32"/>
          <w:szCs w:val="32"/>
        </w:rPr>
        <w:t>年本部门政府采购安排</w:t>
      </w:r>
      <w:r>
        <w:rPr>
          <w:rFonts w:hint="eastAsia" w:ascii="FangSong_GB2312" w:hAnsi="FangSong_GB2312" w:eastAsia="FangSong_GB2312" w:cs="FangSong_GB2312"/>
          <w:sz w:val="32"/>
          <w:szCs w:val="32"/>
          <w:lang w:val="en-US" w:eastAsia="zh-CN"/>
        </w:rPr>
        <w:t>117.6</w:t>
      </w:r>
      <w:r>
        <w:rPr>
          <w:rFonts w:hint="eastAsia" w:ascii="FangSong_GB2312" w:hAnsi="FangSong_GB2312" w:eastAsia="FangSong_GB2312" w:cs="FangSong_GB2312"/>
          <w:sz w:val="32"/>
          <w:szCs w:val="32"/>
        </w:rPr>
        <w:t>元，其中：货物类采购预算</w:t>
      </w:r>
      <w:r>
        <w:rPr>
          <w:rFonts w:hint="eastAsia" w:ascii="FangSong_GB2312" w:hAnsi="FangSong_GB2312" w:eastAsia="FangSong_GB2312" w:cs="FangSong_GB2312"/>
          <w:sz w:val="32"/>
          <w:szCs w:val="32"/>
          <w:lang w:val="en-US" w:eastAsia="zh-CN"/>
        </w:rPr>
        <w:t>38</w:t>
      </w:r>
      <w:r>
        <w:rPr>
          <w:rFonts w:hint="eastAsia" w:ascii="FangSong_GB2312" w:hAnsi="FangSong_GB2312" w:eastAsia="FangSong_GB2312" w:cs="FangSong_GB2312"/>
          <w:sz w:val="32"/>
          <w:szCs w:val="32"/>
        </w:rPr>
        <w:t>万元，工程类采购预算</w:t>
      </w:r>
      <w:r>
        <w:rPr>
          <w:rFonts w:hint="eastAsia" w:ascii="FangSong_GB2312" w:hAnsi="FangSong_GB2312" w:eastAsia="FangSong_GB2312" w:cs="FangSong_GB2312"/>
          <w:sz w:val="32"/>
          <w:szCs w:val="32"/>
          <w:lang w:val="en-US" w:eastAsia="zh-CN"/>
        </w:rPr>
        <w:t>79.6</w:t>
      </w:r>
      <w:r>
        <w:rPr>
          <w:rFonts w:hint="eastAsia" w:ascii="FangSong_GB2312" w:hAnsi="FangSong_GB2312" w:eastAsia="FangSong_GB2312" w:cs="FangSong_GB2312"/>
          <w:sz w:val="32"/>
          <w:szCs w:val="32"/>
        </w:rPr>
        <w:t>万元，服务类采购预算</w:t>
      </w:r>
      <w:r>
        <w:rPr>
          <w:rFonts w:hint="eastAsia" w:ascii="FangSong_GB2312" w:hAnsi="FangSong_GB2312" w:eastAsia="FangSong_GB2312" w:cs="FangSong_GB2312"/>
          <w:sz w:val="32"/>
          <w:szCs w:val="32"/>
          <w:lang w:val="en-US" w:eastAsia="zh-CN"/>
        </w:rPr>
        <w:t>0</w:t>
      </w:r>
      <w:r>
        <w:rPr>
          <w:rFonts w:hint="eastAsia" w:ascii="FangSong_GB2312" w:hAnsi="FangSong_GB2312" w:eastAsia="FangSong_GB2312" w:cs="FangSong_GB2312"/>
          <w:sz w:val="32"/>
          <w:szCs w:val="32"/>
        </w:rPr>
        <w:t>万元等。</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40"/>
        <w:rPr>
          <w:rFonts w:ascii="KaiTi_GB2312" w:hAnsi="KaiTi_GB2312" w:eastAsia="KaiTi_GB2312" w:cs="KaiTi_GB2312"/>
          <w:sz w:val="32"/>
          <w:szCs w:val="32"/>
          <w:highlight w:val="lightGray"/>
        </w:rPr>
      </w:pPr>
      <w:r>
        <w:rPr>
          <w:rFonts w:hint="eastAsia" w:ascii="FangSong_GB2312" w:hAnsi="FangSong_GB2312" w:eastAsia="FangSong_GB2312" w:cs="FangSong_GB2312"/>
          <w:sz w:val="32"/>
          <w:szCs w:val="32"/>
        </w:rPr>
        <w:t>截至201</w:t>
      </w:r>
      <w:r>
        <w:rPr>
          <w:rFonts w:hint="eastAsia" w:ascii="FangSong_GB2312" w:hAnsi="FangSong_GB2312" w:eastAsia="FangSong_GB2312" w:cs="FangSong_GB2312"/>
          <w:sz w:val="32"/>
          <w:szCs w:val="32"/>
          <w:lang w:val="en-US" w:eastAsia="zh-CN"/>
        </w:rPr>
        <w:t>6</w:t>
      </w:r>
      <w:r>
        <w:rPr>
          <w:rFonts w:hint="eastAsia" w:ascii="FangSong_GB2312" w:hAnsi="FangSong_GB2312" w:eastAsia="FangSong_GB2312" w:cs="FangSong_GB2312"/>
          <w:sz w:val="32"/>
          <w:szCs w:val="32"/>
        </w:rPr>
        <w:t>年1月1日，本部门占有使用国有资产总体情况为：</w:t>
      </w:r>
      <w:r>
        <w:rPr>
          <w:rFonts w:hint="eastAsia" w:ascii="FangSong_GB2312" w:hAnsi="FangSong_GB2312" w:eastAsia="FangSong_GB2312" w:cs="FangSong_GB2312"/>
          <w:sz w:val="32"/>
          <w:szCs w:val="32"/>
          <w:lang w:val="en-US" w:eastAsia="zh-CN"/>
        </w:rPr>
        <w:t>24529万元</w:t>
      </w:r>
      <w:r>
        <w:rPr>
          <w:rFonts w:hint="eastAsia" w:ascii="FangSong_GB2312" w:hAnsi="FangSong_GB2312" w:eastAsia="FangSong_GB2312" w:cs="FangSong_GB2312"/>
          <w:sz w:val="32"/>
          <w:szCs w:val="32"/>
        </w:rPr>
        <w:t>，分布构成情况为：</w:t>
      </w:r>
      <w:r>
        <w:rPr>
          <w:rFonts w:hint="eastAsia" w:ascii="FangSong_GB2312" w:hAnsi="FangSong_GB2312" w:eastAsia="FangSong_GB2312" w:cs="FangSong_GB2312"/>
          <w:sz w:val="32"/>
          <w:szCs w:val="32"/>
          <w:lang w:val="en-US" w:eastAsia="zh-CN"/>
        </w:rPr>
        <w:t>房屋及建筑物19826万元</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专业设备2675万元，通用设备460万元，图书储存值533万元，家具用具等1495万元。</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2016年，本部门推进预算绩效信息公开的有关工作情况。</w:t>
      </w:r>
      <w:r>
        <w:rPr>
          <w:rFonts w:hint="eastAsia" w:ascii="FangSong_GB2312" w:eastAsia="FangSong_GB2312"/>
          <w:b/>
          <w:sz w:val="32"/>
          <w:szCs w:val="32"/>
        </w:rPr>
        <w:t>绩效管理工作总体情况：</w:t>
      </w:r>
      <w:r>
        <w:rPr>
          <w:rFonts w:hint="eastAsia" w:ascii="FangSong_GB2312" w:eastAsia="FangSong_GB2312"/>
          <w:sz w:val="32"/>
          <w:szCs w:val="32"/>
        </w:rPr>
        <w:t>根据财政预算管理要求，我部门组织对2016年度一般公共预算项目支出全面开展绩效自评。其中，一级项目1个，二级项目0个，共涉及资金120万元，自评覆盖率达到100%对比上年推进0%。</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spacing w:line="288" w:lineRule="auto"/>
        <w:ind w:firstLine="627" w:firstLineChars="196"/>
        <w:rPr>
          <w:rFonts w:ascii="FangSong_GB2312" w:eastAsia="FangSong_GB2312"/>
          <w:b/>
          <w:sz w:val="32"/>
          <w:szCs w:val="32"/>
        </w:rPr>
      </w:pPr>
      <w:r>
        <w:rPr>
          <w:rFonts w:hint="eastAsia" w:ascii="FangSong_GB2312" w:eastAsia="FangSong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5"/>
        </w:numPr>
        <w:spacing w:line="288" w:lineRule="auto"/>
        <w:ind w:firstLine="630" w:firstLineChars="196"/>
        <w:rPr>
          <w:rFonts w:ascii="FangSong_GB2312" w:eastAsia="FangSong_GB2312"/>
          <w:sz w:val="32"/>
          <w:szCs w:val="32"/>
        </w:rPr>
      </w:pPr>
      <w:r>
        <w:rPr>
          <w:rFonts w:hint="eastAsia" w:ascii="FangSong_GB2312" w:eastAsia="FangSong_GB2312"/>
          <w:b/>
          <w:sz w:val="32"/>
          <w:szCs w:val="32"/>
        </w:rPr>
        <w:t>财政拨款收入：</w:t>
      </w:r>
      <w:r>
        <w:rPr>
          <w:rFonts w:hint="eastAsia" w:ascii="FangSong_GB2312" w:eastAsia="FangSong_GB2312"/>
          <w:sz w:val="32"/>
          <w:szCs w:val="32"/>
        </w:rPr>
        <w:t>指财政当年拨付的资金事业收入。</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二、事业收入：</w:t>
      </w:r>
      <w:r>
        <w:rPr>
          <w:rFonts w:hint="eastAsia" w:ascii="FangSong_GB2312" w:eastAsia="FangSong_GB2312"/>
          <w:sz w:val="32"/>
          <w:szCs w:val="32"/>
        </w:rPr>
        <w:t>指事业单位开展专业业务活动及辅动所取得的收入。</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三、经营收入：</w:t>
      </w:r>
      <w:r>
        <w:rPr>
          <w:rFonts w:hint="eastAsia" w:ascii="FangSong_GB2312" w:eastAsia="FangSong_GB2312"/>
          <w:sz w:val="32"/>
          <w:szCs w:val="32"/>
        </w:rPr>
        <w:t>指事业单位在专业业务活动及其辅助活动之外开展非独立核算经营活动取得的收入。</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四、其他收入：</w:t>
      </w:r>
      <w:r>
        <w:rPr>
          <w:rFonts w:hint="eastAsia" w:ascii="FangSong_GB2312" w:eastAsia="FangSong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五、用事业基金弥补收支差额：</w:t>
      </w:r>
      <w:r>
        <w:rPr>
          <w:rFonts w:hint="eastAsia" w:ascii="FangSong_GB2312" w:eastAsia="FangSong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六、年初结转和结余：</w:t>
      </w:r>
      <w:r>
        <w:rPr>
          <w:rFonts w:hint="eastAsia" w:ascii="FangSong_GB2312" w:eastAsia="FangSong_GB2312"/>
          <w:sz w:val="32"/>
          <w:szCs w:val="32"/>
        </w:rPr>
        <w:t>指以前年度尚未完成、结转到本年按有关规定继续使用的资金。</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七、结余分配：</w:t>
      </w:r>
      <w:r>
        <w:rPr>
          <w:rFonts w:hint="eastAsia" w:ascii="FangSong_GB2312" w:eastAsia="FangSong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八、年末结转和结余：</w:t>
      </w:r>
      <w:r>
        <w:rPr>
          <w:rFonts w:hint="eastAsia" w:ascii="FangSong_GB2312" w:eastAsia="FangSong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九、基本支出：</w:t>
      </w:r>
      <w:r>
        <w:rPr>
          <w:rFonts w:hint="eastAsia" w:ascii="FangSong_GB2312" w:eastAsia="FangSong_GB2312"/>
          <w:sz w:val="32"/>
          <w:szCs w:val="32"/>
        </w:rPr>
        <w:t>指为保障机构正常运转、完成日常工作任务面发生的人员支出和公用支出。</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十、项目支出：</w:t>
      </w:r>
      <w:r>
        <w:rPr>
          <w:rFonts w:hint="eastAsia" w:ascii="FangSong_GB2312" w:eastAsia="FangSong_GB2312"/>
          <w:sz w:val="32"/>
          <w:szCs w:val="32"/>
        </w:rPr>
        <w:t>指在基本支出这外为完成特定行政任务和事业发展目标所发生的支出。</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十一、经营支出：</w:t>
      </w:r>
      <w:r>
        <w:rPr>
          <w:rFonts w:hint="eastAsia" w:ascii="FangSong_GB2312" w:eastAsia="FangSong_GB2312"/>
          <w:sz w:val="32"/>
          <w:szCs w:val="32"/>
        </w:rPr>
        <w:t>指事业单位在专业业务活动及其辅助活动之外开展非独立核算经营活动所发生的支出。</w:t>
      </w:r>
    </w:p>
    <w:p>
      <w:pPr>
        <w:spacing w:line="288" w:lineRule="auto"/>
        <w:ind w:left="1" w:firstLine="630" w:firstLineChars="196"/>
        <w:rPr>
          <w:rFonts w:ascii="FangSong_GB2312" w:hAnsi="宋体" w:eastAsia="FangSong_GB2312" w:cs="宋体"/>
          <w:kern w:val="0"/>
          <w:sz w:val="32"/>
          <w:szCs w:val="32"/>
        </w:rPr>
      </w:pPr>
      <w:r>
        <w:rPr>
          <w:rFonts w:hint="eastAsia" w:ascii="FangSong_GB2312" w:eastAsia="FangSong_GB2312"/>
          <w:b/>
          <w:sz w:val="32"/>
          <w:szCs w:val="32"/>
        </w:rPr>
        <w:t>十二、“三公”经费：</w:t>
      </w:r>
      <w:r>
        <w:rPr>
          <w:rFonts w:hint="eastAsia" w:ascii="FangSong_GB2312" w:hAnsi="宋体" w:eastAsia="FangSong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ind w:firstLine="643" w:firstLineChars="200"/>
        <w:jc w:val="left"/>
        <w:rPr>
          <w:rFonts w:ascii="KaiTi_GB2312" w:hAnsi="KaiTi_GB2312" w:eastAsia="KaiTi_GB2312" w:cs="KaiTi_GB2312"/>
          <w:sz w:val="32"/>
          <w:szCs w:val="32"/>
          <w:highlight w:val="lightGray"/>
        </w:rPr>
      </w:pPr>
      <w:r>
        <w:rPr>
          <w:rFonts w:hint="eastAsia" w:ascii="FangSong_GB2312" w:eastAsia="FangSong_GB2312"/>
          <w:b/>
          <w:sz w:val="32"/>
          <w:szCs w:val="32"/>
        </w:rPr>
        <w:t>十三、机关运行经费：</w:t>
      </w:r>
      <w:r>
        <w:rPr>
          <w:rFonts w:hint="eastAsia" w:ascii="FangSong_GB2312" w:eastAsia="FangSong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ind w:firstLine="640" w:firstLineChars="200"/>
        <w:jc w:val="left"/>
        <w:rPr>
          <w:rFonts w:ascii="FangSong_GB2312" w:hAnsi="FangSong_GB2312" w:eastAsia="FangSong_GB2312" w:cs="FangSong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E0002AFF" w:usb1="C0007843" w:usb2="00000009" w:usb3="00000000" w:csb0="400001FF" w:csb1="FFFF0000"/>
  </w:font>
  <w:font w:name="KaiTi_GB2312">
    <w:altName w:val="宋体"/>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2B"/>
    <w:rsid w:val="000B6042"/>
    <w:rsid w:val="001143FD"/>
    <w:rsid w:val="00134722"/>
    <w:rsid w:val="00253D67"/>
    <w:rsid w:val="002D2675"/>
    <w:rsid w:val="0039602B"/>
    <w:rsid w:val="00463086"/>
    <w:rsid w:val="004C29B9"/>
    <w:rsid w:val="00AD0377"/>
    <w:rsid w:val="00AF2FBC"/>
    <w:rsid w:val="00F87AC3"/>
    <w:rsid w:val="00FD3768"/>
    <w:rsid w:val="02C22D24"/>
    <w:rsid w:val="02F23E02"/>
    <w:rsid w:val="07DF6555"/>
    <w:rsid w:val="0E866085"/>
    <w:rsid w:val="129446FD"/>
    <w:rsid w:val="13016A31"/>
    <w:rsid w:val="15422D84"/>
    <w:rsid w:val="1AFD4A3C"/>
    <w:rsid w:val="20EE6A13"/>
    <w:rsid w:val="36E602DD"/>
    <w:rsid w:val="37656BAC"/>
    <w:rsid w:val="49072C85"/>
    <w:rsid w:val="4B3934DE"/>
    <w:rsid w:val="4E0D4738"/>
    <w:rsid w:val="50501B90"/>
    <w:rsid w:val="50CB6A87"/>
    <w:rsid w:val="5F1B7433"/>
    <w:rsid w:val="60E37A9B"/>
    <w:rsid w:val="6278718D"/>
    <w:rsid w:val="66D06120"/>
    <w:rsid w:val="6C486363"/>
    <w:rsid w:val="6D9B07DA"/>
    <w:rsid w:val="740C746B"/>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uiPriority w:val="0"/>
    <w:rPr>
      <w:sz w:val="18"/>
      <w:szCs w:val="18"/>
    </w:rPr>
  </w:style>
  <w:style w:type="character" w:customStyle="1" w:styleId="5">
    <w:name w:val="批注框文本 Char"/>
    <w:basedOn w:val="3"/>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2418</Words>
  <Characters>246</Characters>
  <Lines>2</Lines>
  <Paragraphs>5</Paragraphs>
  <TotalTime>0</TotalTime>
  <ScaleCrop>false</ScaleCrop>
  <LinksUpToDate>false</LinksUpToDate>
  <CharactersWithSpaces>2659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2018-04-08T08:04:20Z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