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罗定市粮食储备管理中心部门预算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罗定市粮食储备管理中心概况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罗定市粮食储备管理中心概况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包含军粮供应办公室)是全额预算拨款的事业单位（参照公务员管理），其主要的职责是贯彻执行国家粮食工作的各项方针、政策和法规，检查落实粮食工作的各项管理制度；负责全市粮食总量平衡，组织协调搞好全市粮食收购、储备计划的落实；负责军供粮油供应及应急、突发事件粮油供应工作；抓好储粮安全，负责检查指导搞好各级储备粮的安全保管，确保粮食数量真实、质量完好，保证国家急需时调得动、用得上等等工作。</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我中心部门预算为罗定市粮食储备管理中心本级预算，其中独立核算单位只得罗定市粮食储备管理中心一个，并无其他纳入预算汇总的下属单位。</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内设有办公室、储备购销管理股、财会审计股、粮食市场监督管理股、罗定市粮食军粮供应办公室，这五个股室属于本中心办公股室，都不是独立核算单位。本中心编制人数36人，其中：事业编制25人（参照公务员管理），工勤人员11人。实有人数77人，其中：在职33人，离退休31人，其他人员（遗属）13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tbl>
      <w:tblPr>
        <w:tblStyle w:val="5"/>
        <w:tblpPr w:leftFromText="180" w:rightFromText="180" w:vertAnchor="text" w:horzAnchor="page" w:tblpX="1972" w:tblpY="3418"/>
        <w:tblOverlap w:val="never"/>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2535"/>
        <w:gridCol w:w="2160"/>
        <w:gridCol w:w="2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8" w:hRule="atLeast"/>
        </w:trPr>
        <w:tc>
          <w:tcPr>
            <w:tcW w:w="8540"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trPr>
        <w:tc>
          <w:tcPr>
            <w:tcW w:w="854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844"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罗定市粮食储备管理中心  </w:t>
            </w:r>
          </w:p>
        </w:tc>
        <w:tc>
          <w:tcPr>
            <w:tcW w:w="4696"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3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375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8540"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ind w:firstLine="640" w:firstLineChars="200"/>
        <w:jc w:val="left"/>
      </w:pPr>
      <w:r>
        <w:rPr>
          <w:rFonts w:hint="eastAsia" w:ascii="仿宋_GB2312" w:hAnsi="仿宋_GB2312" w:eastAsia="仿宋_GB2312" w:cs="仿宋_GB2312"/>
          <w:sz w:val="32"/>
          <w:szCs w:val="32"/>
          <w:highlight w:val="lightGray"/>
          <w:lang w:val="en-US" w:eastAsia="zh-CN"/>
        </w:rPr>
        <w:t>（</w:t>
      </w:r>
      <w:r>
        <w:rPr>
          <w:rFonts w:hint="eastAsia" w:ascii="楷体_GB2312" w:hAnsi="楷体_GB2312" w:eastAsia="楷体_GB2312" w:cs="楷体_GB2312"/>
          <w:b/>
          <w:bCs/>
          <w:i w:val="0"/>
          <w:iCs w:val="0"/>
          <w:sz w:val="32"/>
          <w:szCs w:val="32"/>
          <w:highlight w:val="lightGray"/>
          <w:u w:val="none"/>
          <w:lang w:val="en-US" w:eastAsia="zh-CN"/>
        </w:rPr>
        <w:t>说明</w:t>
      </w:r>
      <w:r>
        <w:rPr>
          <w:rFonts w:hint="eastAsia" w:ascii="楷体_GB2312" w:hAnsi="楷体_GB2312" w:eastAsia="楷体_GB2312" w:cs="楷体_GB2312"/>
          <w:b w:val="0"/>
          <w:bCs w:val="0"/>
          <w:i w:val="0"/>
          <w:iCs w:val="0"/>
          <w:sz w:val="32"/>
          <w:szCs w:val="32"/>
          <w:highlight w:val="lightGray"/>
          <w:u w:val="none"/>
          <w:lang w:val="en-US" w:eastAsia="zh-CN"/>
        </w:rPr>
        <w:t>：以下为表样，具体按本级财政部门批复各部门的表格公开。财预</w:t>
      </w:r>
      <w:r>
        <w:rPr>
          <w:rFonts w:hint="eastAsia" w:ascii="仿宋_GB2312" w:hAnsi="仿宋_GB2312" w:eastAsia="仿宋_GB2312" w:cs="仿宋_GB2312"/>
          <w:b w:val="0"/>
          <w:bCs w:val="0"/>
          <w:i w:val="0"/>
          <w:iCs w:val="0"/>
          <w:sz w:val="32"/>
          <w:szCs w:val="32"/>
          <w:highlight w:val="lightGray"/>
          <w:u w:val="none"/>
          <w:lang w:val="en-US" w:eastAsia="zh-CN"/>
        </w:rPr>
        <w:t>〔2016〕143号文要求至少应公开的8张表必须编制并公开，绩效目标必须有所体现并公开。</w:t>
      </w:r>
      <w:r>
        <w:rPr>
          <w:rFonts w:hint="eastAsia" w:ascii="楷体_GB2312" w:hAnsi="楷体_GB2312" w:eastAsia="楷体_GB2312" w:cs="楷体_GB2312"/>
          <w:b w:val="0"/>
          <w:bCs w:val="0"/>
          <w:i w:val="0"/>
          <w:iCs w:val="0"/>
          <w:sz w:val="32"/>
          <w:szCs w:val="32"/>
          <w:highlight w:val="lightGray"/>
          <w:u w:val="none"/>
          <w:lang w:val="en-US" w:eastAsia="zh-CN"/>
        </w:rPr>
        <w:t>必须公开表中如有表格无数据，也应以空表公开，并备注说明，如表9</w:t>
      </w:r>
      <w:r>
        <w:rPr>
          <w:rFonts w:hint="eastAsia" w:ascii="仿宋_GB2312" w:hAnsi="仿宋_GB2312" w:eastAsia="仿宋_GB2312" w:cs="仿宋_GB2312"/>
          <w:sz w:val="32"/>
          <w:szCs w:val="32"/>
          <w:highlight w:val="lightGray"/>
          <w:lang w:val="en-US" w:eastAsia="zh-CN"/>
        </w:rPr>
        <w:t>）</w:t>
      </w:r>
    </w:p>
    <w:p>
      <w:pPr>
        <w:jc w:val="both"/>
        <w:rPr>
          <w:rFonts w:hint="eastAsia"/>
          <w:lang w:val="en-US" w:eastAsia="zh-CN"/>
        </w:rPr>
      </w:pPr>
    </w:p>
    <w:tbl>
      <w:tblPr>
        <w:tblStyle w:val="5"/>
        <w:tblW w:w="8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0"/>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08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08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298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0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375</w:t>
            </w:r>
          </w:p>
        </w:tc>
      </w:tr>
    </w:tbl>
    <w:p>
      <w:pPr>
        <w:jc w:val="both"/>
      </w:pPr>
    </w:p>
    <w:p>
      <w:pPr>
        <w:jc w:val="both"/>
      </w:pPr>
    </w:p>
    <w:p>
      <w:pPr>
        <w:jc w:val="both"/>
      </w:pPr>
    </w:p>
    <w:p>
      <w:pPr>
        <w:jc w:val="both"/>
      </w:pPr>
    </w:p>
    <w:p>
      <w:pPr>
        <w:jc w:val="both"/>
      </w:pPr>
    </w:p>
    <w:p>
      <w:pPr>
        <w:jc w:val="both"/>
      </w:pPr>
    </w:p>
    <w:p>
      <w:pPr>
        <w:jc w:val="both"/>
      </w:pPr>
    </w:p>
    <w:p>
      <w:pPr>
        <w:jc w:val="both"/>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5"/>
        <w:tblW w:w="8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75"/>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259"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25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428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375</w:t>
            </w:r>
          </w:p>
        </w:tc>
      </w:tr>
    </w:tbl>
    <w:p>
      <w:pPr>
        <w:jc w:val="both"/>
        <w:sectPr>
          <w:pgSz w:w="11906" w:h="16838"/>
          <w:pgMar w:top="1440" w:right="1800" w:bottom="1440" w:left="1800" w:header="851" w:footer="992" w:gutter="0"/>
          <w:pgNumType w:fmt="numberInDash"/>
          <w:cols w:space="425" w:num="1"/>
          <w:docGrid w:type="lines" w:linePitch="312" w:charSpace="0"/>
        </w:sectPr>
      </w:pPr>
    </w:p>
    <w:tbl>
      <w:tblPr>
        <w:tblStyle w:val="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84"/>
        <w:gridCol w:w="1715"/>
        <w:gridCol w:w="1856"/>
        <w:gridCol w:w="651"/>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9" w:hRule="atLeast"/>
        </w:trPr>
        <w:tc>
          <w:tcPr>
            <w:tcW w:w="8340"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trPr>
        <w:tc>
          <w:tcPr>
            <w:tcW w:w="83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399"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1856" w:type="dxa"/>
            <w:shd w:val="clear" w:color="auto" w:fill="auto"/>
            <w:vAlign w:val="bottom"/>
          </w:tcPr>
          <w:p>
            <w:pPr>
              <w:rPr>
                <w:rFonts w:hint="eastAsia" w:ascii="宋体" w:hAnsi="宋体" w:eastAsia="宋体" w:cs="宋体"/>
                <w:i w:val="0"/>
                <w:color w:val="000000"/>
                <w:sz w:val="20"/>
                <w:szCs w:val="20"/>
                <w:u w:val="none"/>
              </w:rPr>
            </w:pPr>
          </w:p>
        </w:tc>
        <w:tc>
          <w:tcPr>
            <w:tcW w:w="2085"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3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39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375</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375</w:t>
            </w:r>
          </w:p>
        </w:tc>
      </w:tr>
    </w:tbl>
    <w:p>
      <w:pPr>
        <w:jc w:val="both"/>
      </w:pPr>
    </w:p>
    <w:p>
      <w:pPr>
        <w:jc w:val="both"/>
      </w:pPr>
    </w:p>
    <w:tbl>
      <w:tblPr>
        <w:tblStyle w:val="5"/>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57"/>
        <w:gridCol w:w="965"/>
        <w:gridCol w:w="1524"/>
        <w:gridCol w:w="2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 w:hRule="atLeast"/>
        </w:trPr>
        <w:tc>
          <w:tcPr>
            <w:tcW w:w="8480"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2" w:hRule="atLeast"/>
        </w:trPr>
        <w:tc>
          <w:tcPr>
            <w:tcW w:w="848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30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965"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8"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3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3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[八]社会保障和就业支出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    ]发展与改革事务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6"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    ]其他发展与改革事务支出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[二十一]粮油物资储备支出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337</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bl>
    <w:p>
      <w:pPr>
        <w:jc w:val="both"/>
      </w:pPr>
    </w:p>
    <w:p>
      <w:pPr>
        <w:jc w:val="both"/>
      </w:pPr>
    </w:p>
    <w:p>
      <w:pPr>
        <w:jc w:val="both"/>
      </w:pPr>
    </w:p>
    <w:p>
      <w:pPr>
        <w:jc w:val="both"/>
      </w:pPr>
    </w:p>
    <w:tbl>
      <w:tblPr>
        <w:tblStyle w:val="5"/>
        <w:tblW w:w="832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
        <w:gridCol w:w="3271"/>
        <w:gridCol w:w="258"/>
        <w:gridCol w:w="166"/>
        <w:gridCol w:w="2594"/>
        <w:gridCol w:w="345"/>
        <w:gridCol w:w="1346"/>
        <w:gridCol w:w="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14" w:type="dxa"/>
          <w:wAfter w:w="334" w:type="dxa"/>
          <w:trHeight w:val="192" w:hRule="atLeast"/>
        </w:trPr>
        <w:tc>
          <w:tcPr>
            <w:tcW w:w="3271" w:type="dxa"/>
            <w:shd w:val="clear" w:color="auto" w:fill="auto"/>
            <w:vAlign w:val="bottom"/>
          </w:tcPr>
          <w:p>
            <w:pPr>
              <w:rPr>
                <w:rFonts w:hint="eastAsia" w:ascii="宋体" w:hAnsi="宋体" w:eastAsia="宋体" w:cs="宋体"/>
                <w:i w:val="0"/>
                <w:color w:val="000000"/>
                <w:sz w:val="20"/>
                <w:szCs w:val="20"/>
                <w:u w:val="none"/>
              </w:rPr>
            </w:pPr>
          </w:p>
        </w:tc>
        <w:tc>
          <w:tcPr>
            <w:tcW w:w="4709"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519" w:hRule="atLeast"/>
        </w:trPr>
        <w:tc>
          <w:tcPr>
            <w:tcW w:w="7980"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37" w:hRule="atLeast"/>
        </w:trPr>
        <w:tc>
          <w:tcPr>
            <w:tcW w:w="3695"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2939" w:type="dxa"/>
            <w:gridSpan w:val="2"/>
            <w:shd w:val="clear" w:color="auto" w:fill="auto"/>
            <w:vAlign w:val="center"/>
          </w:tcPr>
          <w:p>
            <w:pPr>
              <w:jc w:val="left"/>
              <w:rPr>
                <w:rFonts w:hint="eastAsia" w:ascii="宋体" w:hAnsi="宋体" w:eastAsia="宋体" w:cs="宋体"/>
                <w:i w:val="0"/>
                <w:color w:val="000000"/>
                <w:sz w:val="20"/>
                <w:szCs w:val="20"/>
                <w:u w:val="none"/>
              </w:rPr>
            </w:pPr>
          </w:p>
        </w:tc>
        <w:tc>
          <w:tcPr>
            <w:tcW w:w="134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395" w:hRule="atLeas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政府预算支出经济分类</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部门预算支出经济分类</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2018年基本支出预算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7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outlineLvl w:val="9"/>
              <w:rPr>
                <w:rFonts w:hint="eastAsia" w:ascii="黑体" w:hAnsi="宋体" w:eastAsia="黑体" w:cs="黑体"/>
                <w:b/>
                <w:i w:val="0"/>
                <w:color w:val="000000"/>
                <w:sz w:val="18"/>
                <w:szCs w:val="18"/>
                <w:u w:val="none"/>
              </w:rPr>
            </w:pP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合计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黑体" w:hAnsi="宋体" w:eastAsia="黑体" w:cs="黑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[501]机关工资福利支出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[301]工资福利支出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[30101]基本工资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[30102]津贴补贴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[30103]奖金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[50102]社会保障缴费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w:t>
            </w:r>
            <w:r>
              <w:rPr>
                <w:rStyle w:val="6"/>
                <w:sz w:val="18"/>
                <w:szCs w:val="18"/>
                <w:lang w:val="en-US" w:eastAsia="zh-CN" w:bidi="ar"/>
              </w:rPr>
              <w:t>12]其他社会保障缴费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[50103]住房公积金</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[30113]住房公积金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[50199]其他工资福利支出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[30106]伙食补助费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[502]机关商品和服务支出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[30201]办公费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[30202]印刷费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[30204]手续费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[30205]水费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[30206]电费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[30207]邮电费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[30209]物业管理费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[30211]差旅费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[30214]租赁费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[30228]工会经费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[30229]福利费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[30239]其他交通费用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[50202]会议费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[30215]会议费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[50203]培训费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[30216]培训费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[30203]咨询费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[30226]劳务费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[30227]委托业务费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[50206]公务接待费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[30217]公务接待费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[50207]因公出国（境）费用</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[30212]因公出国（境）费用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[50208]公务用车运行维护费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[30231]公务用车运行维护费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[50209]维修（护）费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[30213]维修（护）费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[50299]其他商品和服务支出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[30299]其他商品和服务支出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[503]机关资本性支出（一）</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[310]资本性支出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[50306]设备购置</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[31002]办公设备购置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[505]对事业单位经常性补助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[301]工资福利支出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[30101]基本工资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[30102]津贴补贴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[30103]奖金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[30107]绩效工资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[30113]住房公积金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[30199]其他工资福利支出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[505]对事业单位经常性补助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[50502]商品和服务支出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[30201]办公费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[50502]商品和服务支出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[30299]其他商品和服务支出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[509]对个人和家庭的补助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[303]对个人和家庭的补助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[30304]抚恤金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[30305]生活补助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[30307]医疗费补助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[30309]奖励金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[50905]离退休费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[30301]离休费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[50905]离退休费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[30302]退休费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[50999]其他对个人和家庭的补助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[30399]其他对个人和家庭的补助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328" w:type="dxa"/>
            <w:gridSpan w:val="8"/>
            <w:tcBorders>
              <w:top w:val="nil"/>
              <w:left w:val="nil"/>
              <w:bottom w:val="nil"/>
              <w:right w:val="nil"/>
              <w:tl2br w:val="nil"/>
              <w:tr2bl w:val="nil"/>
            </w:tcBorders>
            <w:shd w:val="clear" w:color="auto" w:fill="auto"/>
            <w:vAlign w:val="top"/>
          </w:tcPr>
          <w:p>
            <w:pPr>
              <w:spacing w:beforeLines="0" w:afterLines="0"/>
              <w:jc w:val="right"/>
              <w:rPr>
                <w:rFonts w:hint="eastAsia" w:ascii="仿宋" w:hAnsi="仿宋" w:eastAsia="仿宋"/>
                <w:color w:val="000000"/>
                <w:sz w:val="24"/>
              </w:rPr>
            </w:pPr>
            <w:r>
              <w:rPr>
                <w:rFonts w:hint="eastAsia" w:ascii="仿宋" w:hAnsi="仿宋" w:eastAsia="仿宋"/>
                <w:color w:val="000000"/>
                <w:sz w:val="24"/>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8328" w:type="dxa"/>
            <w:gridSpan w:val="8"/>
            <w:tcBorders>
              <w:top w:val="nil"/>
              <w:left w:val="nil"/>
              <w:bottom w:val="nil"/>
              <w:right w:val="nil"/>
              <w:tl2br w:val="nil"/>
              <w:tr2bl w:val="nil"/>
            </w:tcBorders>
            <w:shd w:val="clear" w:color="auto" w:fill="auto"/>
            <w:vAlign w:val="top"/>
          </w:tcPr>
          <w:p>
            <w:pPr>
              <w:spacing w:beforeLines="0" w:afterLines="0"/>
              <w:jc w:val="center"/>
              <w:rPr>
                <w:rFonts w:hint="eastAsia" w:ascii="宋体" w:hAnsi="宋体"/>
                <w:b/>
                <w:color w:val="000000"/>
                <w:sz w:val="32"/>
                <w:szCs w:val="32"/>
              </w:rPr>
            </w:pPr>
            <w:r>
              <w:rPr>
                <w:rFonts w:hint="eastAsia" w:ascii="宋体" w:hAnsi="宋体"/>
                <w:b/>
                <w:color w:val="000000"/>
                <w:sz w:val="32"/>
                <w:szCs w:val="32"/>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3543" w:type="dxa"/>
            <w:gridSpan w:val="3"/>
            <w:tcBorders>
              <w:top w:val="nil"/>
              <w:left w:val="nil"/>
              <w:bottom w:val="nil"/>
              <w:right w:val="nil"/>
              <w:tl2br w:val="nil"/>
              <w:tr2bl w:val="nil"/>
            </w:tcBorders>
            <w:shd w:val="clear" w:color="auto" w:fill="auto"/>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单位名称：罗定市粮食储备管理中心  </w:t>
            </w:r>
          </w:p>
        </w:tc>
        <w:tc>
          <w:tcPr>
            <w:tcW w:w="2760" w:type="dxa"/>
            <w:gridSpan w:val="2"/>
            <w:tcBorders>
              <w:top w:val="nil"/>
              <w:left w:val="nil"/>
              <w:bottom w:val="nil"/>
              <w:right w:val="nil"/>
              <w:tl2br w:val="nil"/>
              <w:tr2bl w:val="nil"/>
            </w:tcBorders>
            <w:shd w:val="clear" w:color="auto" w:fill="auto"/>
            <w:vAlign w:val="top"/>
          </w:tcPr>
          <w:p>
            <w:pPr>
              <w:spacing w:beforeLines="0" w:afterLines="0"/>
              <w:jc w:val="left"/>
              <w:rPr>
                <w:rFonts w:hint="eastAsia" w:ascii="宋体" w:hAnsi="宋体"/>
                <w:color w:val="000000"/>
                <w:sz w:val="20"/>
              </w:rPr>
            </w:pPr>
          </w:p>
        </w:tc>
        <w:tc>
          <w:tcPr>
            <w:tcW w:w="2025" w:type="dxa"/>
            <w:gridSpan w:val="3"/>
            <w:tcBorders>
              <w:top w:val="nil"/>
              <w:left w:val="nil"/>
              <w:bottom w:val="nil"/>
              <w:right w:val="nil"/>
              <w:tl2br w:val="nil"/>
              <w:tr2bl w:val="nil"/>
            </w:tcBorders>
            <w:shd w:val="clear" w:color="auto" w:fill="auto"/>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政府预算支出经济分类</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部门预算支出经济分类</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2018年项目支出预算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合计</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[501]机关工资福利支出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[301]工资福利支出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[50199]其他工资福利支出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[30106]伙食补助费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[50199]其他工资福利支出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[30199]其他工资福利支出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[502]机关商品和服务支出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[302]商品和服务支出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[30201]办公费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[30202]印刷费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[30204]手续费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[30205]水费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[30206]电费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[30207]邮电费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[30209]物业管理费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[30211]差旅费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[30214]租赁费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[30239]其他交通费用</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[50202]会议费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[30215]会议费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[50203]培训费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[30216]培训费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[50205]委托业务费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[30203]咨询费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[50205]委托业务费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[30226]劳务费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[50206]公务接待费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[30217]公务接待费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[50208]公务用车运行维护费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[30231]公务用车运行维护费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[50209]维修（护）费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[30213]维修（护）费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[50299]其他商品和服务支出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[30299]其他商品和服务支出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[503]机关资本性支出（一）</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[310]资本性支出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[50301]房屋建筑物购建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[31001]房屋建筑物购置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[50303]公务用车购置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[31013]公务用车购置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[31002]办公设备购置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[31003]专用设备购置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[31007]信息网络及软件购置更新</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[50307]大型修缮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[31006]大型修缮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[50399]其他资本性支出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[31099]其他资本性支出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[509]对事业单位经常性补助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[303]对个人和家庭的补助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[50901]社会福利和救助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[30307]医疗费补助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[50999]其他对个人和家庭的补助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[30399]其他对个人和家庭的补助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bl>
    <w:p>
      <w:pPr>
        <w:jc w:val="both"/>
        <w:rPr>
          <w:rFonts w:hint="eastAsia" w:eastAsiaTheme="minorEastAsia"/>
          <w:sz w:val="18"/>
          <w:szCs w:val="18"/>
          <w:lang w:val="en-US" w:eastAsia="zh-CN"/>
        </w:rPr>
      </w:pPr>
      <w:r>
        <w:rPr>
          <w:rFonts w:hint="eastAsia"/>
          <w:sz w:val="18"/>
          <w:szCs w:val="18"/>
          <w:lang w:val="en-US" w:eastAsia="zh-CN"/>
        </w:rPr>
        <w:t>说明：此表无发生数。</w:t>
      </w:r>
    </w:p>
    <w:p>
      <w:pPr>
        <w:jc w:val="both"/>
      </w:pPr>
    </w:p>
    <w:p>
      <w:pPr>
        <w:jc w:val="both"/>
      </w:pPr>
    </w:p>
    <w:tbl>
      <w:tblPr>
        <w:tblStyle w:val="5"/>
        <w:tblW w:w="8244"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749" w:type="dxa"/>
            <w:tcBorders>
              <w:top w:val="nil"/>
              <w:left w:val="nil"/>
              <w:bottom w:val="nil"/>
              <w:right w:val="nil"/>
              <w:tl2br w:val="nil"/>
              <w:tr2bl w:val="nil"/>
            </w:tcBorders>
            <w:vAlign w:val="top"/>
          </w:tcPr>
          <w:p>
            <w:pPr>
              <w:spacing w:beforeLines="0" w:afterLines="0"/>
              <w:jc w:val="right"/>
              <w:rPr>
                <w:rFonts w:hint="eastAsia" w:ascii="仿宋" w:hAnsi="仿宋" w:eastAsia="仿宋"/>
                <w:color w:val="000000"/>
                <w:sz w:val="24"/>
              </w:rPr>
            </w:pPr>
          </w:p>
        </w:tc>
        <w:tc>
          <w:tcPr>
            <w:tcW w:w="3495" w:type="dxa"/>
            <w:tcBorders>
              <w:top w:val="nil"/>
              <w:left w:val="nil"/>
              <w:bottom w:val="nil"/>
              <w:right w:val="nil"/>
              <w:tl2br w:val="nil"/>
              <w:tr2bl w:val="nil"/>
            </w:tcBorders>
            <w:vAlign w:val="top"/>
          </w:tcPr>
          <w:p>
            <w:pPr>
              <w:spacing w:beforeLines="0" w:afterLines="0"/>
              <w:jc w:val="right"/>
              <w:rPr>
                <w:rFonts w:hint="eastAsia" w:ascii="仿宋" w:hAnsi="仿宋" w:eastAsia="仿宋"/>
                <w:color w:val="000000"/>
                <w:sz w:val="24"/>
              </w:rPr>
            </w:pPr>
            <w:r>
              <w:rPr>
                <w:rFonts w:hint="eastAsia" w:ascii="仿宋" w:hAnsi="仿宋" w:eastAsia="仿宋"/>
                <w:color w:val="000000"/>
                <w:sz w:val="24"/>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黑体" w:hAnsi="黑体" w:eastAsia="黑体"/>
                <w:b/>
                <w:color w:val="000000"/>
                <w:sz w:val="32"/>
                <w:szCs w:val="32"/>
              </w:rPr>
            </w:pPr>
            <w:r>
              <w:rPr>
                <w:rFonts w:hint="eastAsia" w:ascii="黑体" w:hAnsi="黑体" w:eastAsia="黑体"/>
                <w:b/>
                <w:color w:val="000000"/>
                <w:sz w:val="32"/>
                <w:szCs w:val="32"/>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749" w:type="dxa"/>
            <w:tcBorders>
              <w:top w:val="nil"/>
              <w:left w:val="nil"/>
              <w:bottom w:val="single" w:color="auto" w:sz="6" w:space="0"/>
              <w:right w:val="nil"/>
              <w:tl2br w:val="nil"/>
              <w:tr2bl w:val="nil"/>
            </w:tcBorders>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单位名称：罗定市粮食储备管理中心   </w:t>
            </w:r>
          </w:p>
        </w:tc>
        <w:tc>
          <w:tcPr>
            <w:tcW w:w="3495" w:type="dxa"/>
            <w:tcBorders>
              <w:top w:val="nil"/>
              <w:left w:val="nil"/>
              <w:bottom w:val="single" w:color="auto" w:sz="6" w:space="0"/>
              <w:right w:val="nil"/>
              <w:tl2br w:val="nil"/>
              <w:tr2bl w:val="nil"/>
            </w:tcBorders>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项目</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行政经费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“三公”经费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其中：（一）因公出国（境）支出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（二）公务用车购置及运行维护支出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1.公务用车购置</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2.公务用车运行维护费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（三）公务接待费支出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right"/>
              <w:rPr>
                <w:rFonts w:hint="eastAsia" w:ascii="宋体" w:hAnsi="宋体"/>
                <w:color w:val="000000"/>
                <w:sz w:val="24"/>
              </w:rPr>
            </w:pP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749" w:type="dxa"/>
            <w:tcBorders>
              <w:top w:val="single" w:color="auto" w:sz="6" w:space="0"/>
              <w:left w:val="nil"/>
              <w:bottom w:val="nil"/>
              <w:right w:val="nil"/>
              <w:tl2br w:val="nil"/>
              <w:tr2bl w:val="nil"/>
            </w:tcBorders>
            <w:vAlign w:val="top"/>
          </w:tcPr>
          <w:p>
            <w:pPr>
              <w:spacing w:beforeLines="0" w:afterLines="0"/>
              <w:jc w:val="left"/>
              <w:rPr>
                <w:rFonts w:hint="eastAsia" w:ascii="宋体" w:hAnsi="宋体"/>
                <w:color w:val="000000"/>
                <w:sz w:val="20"/>
              </w:rPr>
            </w:pPr>
            <w:r>
              <w:rPr>
                <w:rFonts w:hint="eastAsia" w:ascii="宋体" w:hAnsi="宋体"/>
                <w:color w:val="000000"/>
                <w:sz w:val="20"/>
              </w:rPr>
              <w:t>注：</w:t>
            </w:r>
          </w:p>
        </w:tc>
        <w:tc>
          <w:tcPr>
            <w:tcW w:w="3495" w:type="dxa"/>
            <w:tcBorders>
              <w:top w:val="single" w:color="auto" w:sz="6" w:space="0"/>
              <w:left w:val="nil"/>
              <w:bottom w:val="nil"/>
              <w:right w:val="nil"/>
              <w:tl2br w:val="nil"/>
              <w:tr2bl w:val="nil"/>
            </w:tcBorders>
            <w:vAlign w:val="top"/>
          </w:tcPr>
          <w:p>
            <w:pPr>
              <w:spacing w:beforeLines="0" w:afterLines="0"/>
              <w:jc w:val="lef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tbl>
      <w:tblPr>
        <w:tblStyle w:val="5"/>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9"/>
        <w:gridCol w:w="1533"/>
        <w:gridCol w:w="834"/>
        <w:gridCol w:w="909"/>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380"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38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2018年政府性基金预算支出情况表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02" w:type="dxa"/>
            <w:gridSpan w:val="2"/>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83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744"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exact"/>
        </w:trPr>
        <w:tc>
          <w:tcPr>
            <w:tcW w:w="2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6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exac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9" w:hRule="atLeast"/>
        </w:trPr>
        <w:tc>
          <w:tcPr>
            <w:tcW w:w="8380" w:type="dxa"/>
            <w:gridSpan w:val="5"/>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注：1.如该部门无政府性基金安排的支出，则本表为空。同时按照财政部有关要求，以空表呈报省人代会审议。</w:t>
            </w:r>
          </w:p>
        </w:tc>
      </w:tr>
    </w:tbl>
    <w:p>
      <w:pPr>
        <w:jc w:val="both"/>
      </w:pPr>
    </w:p>
    <w:p>
      <w:pPr>
        <w:jc w:val="both"/>
      </w:pPr>
    </w:p>
    <w:p>
      <w:pPr>
        <w:jc w:val="both"/>
      </w:pPr>
    </w:p>
    <w:tbl>
      <w:tblPr>
        <w:tblStyle w:val="5"/>
        <w:tblW w:w="94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7"/>
        <w:gridCol w:w="1161"/>
        <w:gridCol w:w="1293"/>
        <w:gridCol w:w="823"/>
        <w:gridCol w:w="1278"/>
        <w:gridCol w:w="808"/>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trPr>
        <w:tc>
          <w:tcPr>
            <w:tcW w:w="2287" w:type="dxa"/>
            <w:shd w:val="clear" w:color="auto" w:fill="auto"/>
            <w:vAlign w:val="bottom"/>
          </w:tcPr>
          <w:p>
            <w:pPr>
              <w:rPr>
                <w:rFonts w:hint="eastAsia" w:ascii="宋体" w:hAnsi="宋体" w:eastAsia="宋体" w:cs="宋体"/>
                <w:i w:val="0"/>
                <w:color w:val="000000"/>
                <w:sz w:val="20"/>
                <w:szCs w:val="20"/>
                <w:u w:val="none"/>
              </w:rPr>
            </w:pPr>
          </w:p>
        </w:tc>
        <w:tc>
          <w:tcPr>
            <w:tcW w:w="1161" w:type="dxa"/>
            <w:shd w:val="clear" w:color="auto" w:fill="auto"/>
            <w:vAlign w:val="bottom"/>
          </w:tcPr>
          <w:p>
            <w:pPr>
              <w:rPr>
                <w:rFonts w:hint="eastAsia" w:ascii="宋体" w:hAnsi="宋体" w:eastAsia="宋体" w:cs="宋体"/>
                <w:i w:val="0"/>
                <w:color w:val="000000"/>
                <w:sz w:val="20"/>
                <w:szCs w:val="20"/>
                <w:u w:val="none"/>
              </w:rPr>
            </w:pPr>
          </w:p>
        </w:tc>
        <w:tc>
          <w:tcPr>
            <w:tcW w:w="1293" w:type="dxa"/>
            <w:shd w:val="clear" w:color="auto" w:fill="auto"/>
            <w:vAlign w:val="bottom"/>
          </w:tcPr>
          <w:p>
            <w:pPr>
              <w:rPr>
                <w:rFonts w:hint="eastAsia" w:ascii="宋体" w:hAnsi="宋体" w:eastAsia="宋体" w:cs="宋体"/>
                <w:i w:val="0"/>
                <w:color w:val="000000"/>
                <w:sz w:val="20"/>
                <w:szCs w:val="20"/>
                <w:u w:val="none"/>
              </w:rPr>
            </w:pPr>
          </w:p>
        </w:tc>
        <w:tc>
          <w:tcPr>
            <w:tcW w:w="823" w:type="dxa"/>
            <w:shd w:val="clear" w:color="auto" w:fill="auto"/>
            <w:vAlign w:val="bottom"/>
          </w:tcPr>
          <w:p>
            <w:pPr>
              <w:rPr>
                <w:rFonts w:hint="eastAsia" w:ascii="宋体" w:hAnsi="宋体" w:eastAsia="宋体" w:cs="宋体"/>
                <w:i w:val="0"/>
                <w:color w:val="000000"/>
                <w:sz w:val="20"/>
                <w:szCs w:val="20"/>
                <w:u w:val="none"/>
              </w:rPr>
            </w:pPr>
          </w:p>
        </w:tc>
        <w:tc>
          <w:tcPr>
            <w:tcW w:w="1278" w:type="dxa"/>
            <w:shd w:val="clear" w:color="auto" w:fill="auto"/>
            <w:vAlign w:val="bottom"/>
          </w:tcPr>
          <w:p>
            <w:pPr>
              <w:rPr>
                <w:rFonts w:hint="eastAsia" w:ascii="宋体" w:hAnsi="宋体" w:eastAsia="宋体" w:cs="宋体"/>
                <w:i w:val="0"/>
                <w:color w:val="000000"/>
                <w:sz w:val="20"/>
                <w:szCs w:val="20"/>
                <w:u w:val="none"/>
              </w:rPr>
            </w:pPr>
          </w:p>
        </w:tc>
        <w:tc>
          <w:tcPr>
            <w:tcW w:w="808" w:type="dxa"/>
            <w:shd w:val="clear" w:color="auto" w:fill="auto"/>
            <w:vAlign w:val="bottom"/>
          </w:tcPr>
          <w:p>
            <w:pPr>
              <w:rPr>
                <w:rFonts w:hint="eastAsia" w:ascii="宋体" w:hAnsi="宋体" w:eastAsia="宋体" w:cs="宋体"/>
                <w:i w:val="0"/>
                <w:color w:val="000000"/>
                <w:sz w:val="20"/>
                <w:szCs w:val="20"/>
                <w:u w:val="none"/>
              </w:rPr>
            </w:pPr>
          </w:p>
        </w:tc>
        <w:tc>
          <w:tcPr>
            <w:tcW w:w="182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9473"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2018年部门预算基本支出预算表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3448" w:type="dxa"/>
            <w:gridSpan w:val="2"/>
            <w:shd w:val="clear" w:color="auto" w:fill="auto"/>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单位名称：罗定市粮食储备管理中心</w:t>
            </w:r>
          </w:p>
        </w:tc>
        <w:tc>
          <w:tcPr>
            <w:tcW w:w="1293" w:type="dxa"/>
            <w:shd w:val="clear" w:color="auto" w:fill="auto"/>
            <w:vAlign w:val="bottom"/>
          </w:tcPr>
          <w:p>
            <w:pPr>
              <w:rPr>
                <w:rFonts w:hint="eastAsia" w:ascii="宋体" w:hAnsi="宋体" w:eastAsia="宋体" w:cs="宋体"/>
                <w:i w:val="0"/>
                <w:color w:val="000000"/>
                <w:sz w:val="24"/>
                <w:szCs w:val="24"/>
                <w:u w:val="none"/>
              </w:rPr>
            </w:pPr>
          </w:p>
        </w:tc>
        <w:tc>
          <w:tcPr>
            <w:tcW w:w="823" w:type="dxa"/>
            <w:shd w:val="clear" w:color="auto" w:fill="auto"/>
            <w:vAlign w:val="bottom"/>
          </w:tcPr>
          <w:p>
            <w:pPr>
              <w:rPr>
                <w:rFonts w:hint="eastAsia" w:ascii="宋体" w:hAnsi="宋体" w:eastAsia="宋体" w:cs="宋体"/>
                <w:i w:val="0"/>
                <w:color w:val="000000"/>
                <w:sz w:val="24"/>
                <w:szCs w:val="24"/>
                <w:u w:val="none"/>
              </w:rPr>
            </w:pPr>
          </w:p>
        </w:tc>
        <w:tc>
          <w:tcPr>
            <w:tcW w:w="1278" w:type="dxa"/>
            <w:shd w:val="clear" w:color="auto" w:fill="auto"/>
            <w:vAlign w:val="bottom"/>
          </w:tcPr>
          <w:p>
            <w:pPr>
              <w:rPr>
                <w:rFonts w:hint="eastAsia" w:ascii="宋体" w:hAnsi="宋体" w:eastAsia="宋体" w:cs="宋体"/>
                <w:i w:val="0"/>
                <w:color w:val="000000"/>
                <w:sz w:val="24"/>
                <w:szCs w:val="24"/>
                <w:u w:val="none"/>
              </w:rPr>
            </w:pPr>
          </w:p>
        </w:tc>
        <w:tc>
          <w:tcPr>
            <w:tcW w:w="808" w:type="dxa"/>
            <w:shd w:val="clear" w:color="auto" w:fill="auto"/>
            <w:vAlign w:val="bottom"/>
          </w:tcPr>
          <w:p>
            <w:pPr>
              <w:rPr>
                <w:rFonts w:hint="eastAsia" w:ascii="宋体" w:hAnsi="宋体" w:eastAsia="宋体" w:cs="宋体"/>
                <w:i w:val="0"/>
                <w:color w:val="000000"/>
                <w:sz w:val="24"/>
                <w:szCs w:val="24"/>
                <w:u w:val="none"/>
              </w:rPr>
            </w:pPr>
          </w:p>
        </w:tc>
        <w:tc>
          <w:tcPr>
            <w:tcW w:w="182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3" w:hRule="atLeast"/>
        </w:trPr>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支出项目类别（资金使用单位）</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总计</w:t>
            </w:r>
          </w:p>
        </w:tc>
        <w:tc>
          <w:tcPr>
            <w:tcW w:w="3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财政拨款</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财政专户拨款</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1"/>
                <w:szCs w:val="21"/>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一般公共预算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罗定市粮食储备管理中心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工资福利性支出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对个人和家庭补助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bl>
    <w:p>
      <w:pPr>
        <w:jc w:val="both"/>
      </w:pPr>
    </w:p>
    <w:p>
      <w:pPr>
        <w:jc w:val="both"/>
      </w:pPr>
    </w:p>
    <w:p>
      <w:pPr>
        <w:jc w:val="both"/>
      </w:pPr>
    </w:p>
    <w:tbl>
      <w:tblPr>
        <w:tblStyle w:val="5"/>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6"/>
        <w:gridCol w:w="1034"/>
        <w:gridCol w:w="765"/>
        <w:gridCol w:w="766"/>
        <w:gridCol w:w="766"/>
        <w:gridCol w:w="831"/>
        <w:gridCol w:w="766"/>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4" w:hRule="atLeast"/>
        </w:trPr>
        <w:tc>
          <w:tcPr>
            <w:tcW w:w="2296" w:type="dxa"/>
            <w:shd w:val="clear" w:color="auto" w:fill="auto"/>
            <w:vAlign w:val="bottom"/>
          </w:tcPr>
          <w:p>
            <w:pPr>
              <w:rPr>
                <w:rFonts w:hint="eastAsia" w:ascii="宋体" w:hAnsi="宋体" w:eastAsia="宋体" w:cs="宋体"/>
                <w:i w:val="0"/>
                <w:color w:val="000000"/>
                <w:sz w:val="20"/>
                <w:szCs w:val="20"/>
                <w:u w:val="none"/>
              </w:rPr>
            </w:pPr>
          </w:p>
        </w:tc>
        <w:tc>
          <w:tcPr>
            <w:tcW w:w="1034" w:type="dxa"/>
            <w:shd w:val="clear" w:color="auto" w:fill="auto"/>
            <w:vAlign w:val="bottom"/>
          </w:tcPr>
          <w:p>
            <w:pPr>
              <w:rPr>
                <w:rFonts w:hint="eastAsia" w:ascii="宋体" w:hAnsi="宋体" w:eastAsia="宋体" w:cs="宋体"/>
                <w:i w:val="0"/>
                <w:color w:val="000000"/>
                <w:sz w:val="20"/>
                <w:szCs w:val="20"/>
                <w:u w:val="none"/>
              </w:rPr>
            </w:pPr>
          </w:p>
        </w:tc>
        <w:tc>
          <w:tcPr>
            <w:tcW w:w="765"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831"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952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2018年部门预算项目支出及其他支出预算表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229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单位名称：罗定市粮食储备管理中心</w:t>
            </w:r>
          </w:p>
        </w:tc>
        <w:tc>
          <w:tcPr>
            <w:tcW w:w="1034" w:type="dxa"/>
            <w:shd w:val="clear" w:color="auto" w:fill="auto"/>
            <w:vAlign w:val="bottom"/>
          </w:tcPr>
          <w:p>
            <w:pPr>
              <w:rPr>
                <w:rFonts w:hint="eastAsia" w:ascii="宋体" w:hAnsi="宋体" w:eastAsia="宋体" w:cs="宋体"/>
                <w:i w:val="0"/>
                <w:color w:val="000000"/>
                <w:sz w:val="24"/>
                <w:szCs w:val="24"/>
                <w:u w:val="none"/>
              </w:rPr>
            </w:pPr>
          </w:p>
        </w:tc>
        <w:tc>
          <w:tcPr>
            <w:tcW w:w="765"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831"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罗定市粮食储备管理中心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0"/>
        </w:numPr>
        <w:ind w:firstLine="640"/>
        <w:jc w:val="both"/>
        <w:rPr>
          <w:rFonts w:hint="eastAsia" w:ascii="楷体_GB2312" w:hAnsi="楷体_GB2312" w:eastAsia="楷体_GB2312" w:cs="楷体_GB2312"/>
          <w:sz w:val="32"/>
          <w:szCs w:val="32"/>
          <w:highlight w:val="lightGray"/>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：在以下必须公开的基本说明基础上，可根据本部门情况加以细化说明）</w:t>
      </w:r>
    </w:p>
    <w:p>
      <w:pPr>
        <w:jc w:val="center"/>
        <w:rPr>
          <w:rFonts w:hint="eastAsia" w:ascii="方正小标宋简体" w:hAnsi="方正小标宋简体" w:eastAsia="方正小标宋简体" w:cs="方正小标宋简体"/>
          <w:sz w:val="44"/>
          <w:szCs w:val="44"/>
          <w:lang w:val="en-US" w:eastAsia="zh-CN"/>
        </w:rPr>
      </w:pP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2018年本部门收入预算375万元，其中</w:t>
      </w:r>
      <w:bookmarkStart w:id="0" w:name="_GoBack"/>
      <w:bookmarkEnd w:id="0"/>
      <w:r>
        <w:rPr>
          <w:rFonts w:hint="eastAsia" w:ascii="仿宋_GB2312" w:hAnsi="仿宋_GB2312" w:eastAsia="仿宋_GB2312" w:cs="仿宋_GB2312"/>
          <w:sz w:val="32"/>
          <w:szCs w:val="32"/>
          <w:lang w:val="en-US" w:eastAsia="zh-CN"/>
        </w:rPr>
        <w:t>一般公共预算拨款375万元，比上年增加39万元，增长11.6%，主要原因是物价上升，工资提高；支出预算375万元，其中社会保障和就业支出38万元，粮油物资储备支出337万元，比上年增加39万元，增长11.6%，主要原因是物价上升，工资提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2018年本部门“三公”经费预算安排8万元，与上年保持不变。其中：因公出国（境）费0万元，与上年保持不变；公务用车购置及运行费2万元，与上年保持不变；公务接待费6万元，与上年保持不变。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98万元，比上年减少1万元，下降1%，主要原因是各方面压减开支，虽然物价的不断上涨，但预算安排与上年度基本持平，略有下降。其中：办公费29万元，其他商品和服务支出10万元，工会经费3万元，公务接待费6万元，培训费5万元，会议费5万元，差旅费26万元，邮电费3万元，电费3万元，水电 1万元，公务用车运行维护2万元，维修（护）费5万元。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2018年本部门政府采购安排0万元。其中：货物类采购预算0万元，工程类采购预算0万元，服务类采购预算0万元等。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2017年12月31日，本部门占有使用国有资产总体情况为：1381867元，分布构成情况为：办公楼1098568元和通用设备283299元，通用设备包括一般公务用车一辆，值款251759元，其他固定资产分别为电脑、打印机、空调、电视等，值款31540元。主要实物资产数据情况为：1381867元，资产变动情况为：0元。所有固定资产均为办公在用，包括办公楼，公务用车一辆，以及电脑、打印机、空调、电视等。2018年预计并无购置车辆或废弃车辆打算。</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2018年，本部门无推进预算绩效信息公开的有关工作情况。</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部门预算。是指政府部门依据国家有关法律、法规、政策及其履行职能需要，编制的反映政府各部门所有收入和支出情况的年度财政收入预算。部门预算由本部门及其所属各单位预算组成，由基层预算单位开始编制，逐级上报、审核、汇总，经财政部门审核，提交立法机关依法批准后执行。</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预算收入（原公共财政预算收入）。是按照财政部规定的统一科目和口径统计的收入，包括地方固定收入以及中央与地方共享收入中地方所得部分。地方各级财政总收入减去上划中央、省收入即为一般公共预算收入。</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收入。是指各级人民政府及其所属部门根据法律、国家行政法规和中共中央、国务院有关文件的规定，为支持某项事业发展，按照国家规定程序批准，向公民、法人和其他组织收取或者以出让土地、发行彩票等其他方式筹集具有专项用途的资金所产生的收入。包括各种基金、资金、附加和专项收费收入。</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一般公共预算支出（原公共财政预算支出）。也即通俗所称财政支出，指政府对上级转移性收入、本级一般公共预算收入等有计划的分配和使用而形成的支出。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政府性基金支出。是指政府用筹集的政府性基金收入安排的支出。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国库集中收付制度。是指财政部门代表政府设置国库单一账户体系，所有的财政性资金均纳入国库单一账户体系收缴、支付、管理的制度。</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政府采购制度。是指各级国家机关、事业单位和团体组织，使用财政性资金采购依法制定的集中采购目录以内的或者采购限额标准以上的货物、工程和服务的行为。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“三公”经费。指公务接待费、因公出国（境）费用、公务用车购置及运行维护费。</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816703"/>
    <w:rsid w:val="11340F1B"/>
    <w:rsid w:val="13016A31"/>
    <w:rsid w:val="1AB120D6"/>
    <w:rsid w:val="1D1A42F1"/>
    <w:rsid w:val="20EE6A13"/>
    <w:rsid w:val="2A715F34"/>
    <w:rsid w:val="31157AC2"/>
    <w:rsid w:val="32415967"/>
    <w:rsid w:val="33B67616"/>
    <w:rsid w:val="33E129FF"/>
    <w:rsid w:val="36E602DD"/>
    <w:rsid w:val="50CB6A87"/>
    <w:rsid w:val="514F6334"/>
    <w:rsid w:val="60E37A9B"/>
    <w:rsid w:val="6674505B"/>
    <w:rsid w:val="66D06120"/>
    <w:rsid w:val="675E35A7"/>
    <w:rsid w:val="6D9B07DA"/>
    <w:rsid w:val="6FD84AD6"/>
    <w:rsid w:val="73020872"/>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2018-06-15T07:57:15Z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