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罗定市结核病防治站部门预算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罗定市结核病防治站概况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主要职责        </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机构设置       </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罗定市结核病防治站概况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4"/>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执行《中华人民共和国传染病防治法》、《中华人民共和国尘肺病防治条例》、《结核病防治管理办法》等法律法规；开展结核病防治知识的宣传工作；对肺结核病高发地区进行流行病学调查或普查；对特定人群进行预防性结核体检。</w:t>
      </w:r>
    </w:p>
    <w:p>
      <w:pPr>
        <w:numPr>
          <w:ilvl w:val="0"/>
          <w:numId w:val="4"/>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负责落实结核病人的诊断、治疗和化疗管理工作；与防疫机构合作共同开展本地区卡介苗接种工作。</w:t>
      </w:r>
    </w:p>
    <w:p>
      <w:pPr>
        <w:numPr>
          <w:ilvl w:val="0"/>
          <w:numId w:val="4"/>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负责结核病监测、疫情统计、分析工作；培训结核病防治专业人员。</w:t>
      </w:r>
    </w:p>
    <w:p>
      <w:pPr>
        <w:numPr>
          <w:ilvl w:val="0"/>
          <w:numId w:val="4"/>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承办市委、市人民政府和上级部门交办的其他相关任务。</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（1）本部门无下属单位，部门预算为县本级预算。</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（2）本部门内设机构、人员构成情况： 根据上述职责，罗定市结核病防治站内设办公室、财务科、医务科（加挂“科教信息办”牌子）、护理部四个机构。人员构成编制人数38人，其中：事业编制38人。实有人数40人，其中：在职34人，离退休5人，其他人员1人。车辆情况车辆定编2台，实有可用未封存车辆2台。                           </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2016年部门预算表</w:t>
      </w:r>
    </w:p>
    <w:p>
      <w:pPr>
        <w:jc w:val="both"/>
        <w:rPr>
          <w:rFonts w:hint="eastAsia" w:ascii="楷体_GB2312" w:hAnsi="楷体_GB2312" w:eastAsia="楷体_GB2312" w:cs="楷体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drawing>
          <wp:inline distT="0" distB="0" distL="114300" distR="114300">
            <wp:extent cx="5269865" cy="3237230"/>
            <wp:effectExtent l="0" t="0" r="698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237230"/>
                    </a:xfrm>
                    <a:prstGeom prst="rect">
                      <a:avLst/>
                    </a:prstGeom>
                    <a:noFill/>
                    <a:ln w="9525">
                      <a:noFill/>
                    </a:ln>
                  </pic:spPr>
                </pic:pic>
              </a:graphicData>
            </a:graphic>
          </wp:inline>
        </w:drawing>
      </w:r>
    </w:p>
    <w:p>
      <w:pPr>
        <w:jc w:val="both"/>
      </w:pPr>
    </w:p>
    <w:p>
      <w:pPr>
        <w:jc w:val="both"/>
        <w:rPr>
          <w:rFonts w:hint="eastAsia"/>
          <w:lang w:val="en-US" w:eastAsia="zh-CN"/>
        </w:rPr>
      </w:pPr>
      <w:r>
        <w:drawing>
          <wp:inline distT="0" distB="0" distL="114300" distR="114300">
            <wp:extent cx="5247640" cy="5771515"/>
            <wp:effectExtent l="0" t="0" r="1016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47640" cy="577151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sectPr>
          <w:pgSz w:w="11906" w:h="16838"/>
          <w:pgMar w:top="1440" w:right="1800" w:bottom="1440" w:left="1800" w:header="851" w:footer="992" w:gutter="0"/>
          <w:cols w:space="425" w:num="1"/>
          <w:docGrid w:type="lines" w:linePitch="312" w:charSpace="0"/>
        </w:sectPr>
      </w:pPr>
    </w:p>
    <w:p>
      <w:pPr>
        <w:jc w:val="both"/>
        <w:sectPr>
          <w:pgSz w:w="11906" w:h="16838"/>
          <w:pgMar w:top="1440" w:right="1800" w:bottom="1440" w:left="1800" w:header="851" w:footer="992" w:gutter="0"/>
          <w:cols w:space="425" w:num="1"/>
          <w:docGrid w:type="lines" w:linePitch="312" w:charSpace="0"/>
        </w:sectPr>
      </w:pPr>
      <w:r>
        <w:drawing>
          <wp:inline distT="0" distB="0" distL="114300" distR="114300">
            <wp:extent cx="5114290" cy="7524115"/>
            <wp:effectExtent l="0" t="0" r="1016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114290" cy="7524115"/>
                    </a:xfrm>
                    <a:prstGeom prst="rect">
                      <a:avLst/>
                    </a:prstGeom>
                    <a:noFill/>
                    <a:ln w="9525">
                      <a:noFill/>
                    </a:ln>
                  </pic:spPr>
                </pic:pic>
              </a:graphicData>
            </a:graphic>
          </wp:inline>
        </w:drawing>
      </w:r>
    </w:p>
    <w:p>
      <w:pPr>
        <w:jc w:val="both"/>
      </w:pPr>
      <w:r>
        <w:drawing>
          <wp:inline distT="0" distB="0" distL="114300" distR="114300">
            <wp:extent cx="5272405" cy="1866900"/>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2405" cy="1866900"/>
                    </a:xfrm>
                    <a:prstGeom prst="rect">
                      <a:avLst/>
                    </a:prstGeom>
                    <a:noFill/>
                    <a:ln w="9525">
                      <a:noFill/>
                    </a:ln>
                  </pic:spPr>
                </pic:pic>
              </a:graphicData>
            </a:graphic>
          </wp:inline>
        </w:drawing>
      </w:r>
    </w:p>
    <w:p>
      <w:pPr>
        <w:jc w:val="both"/>
      </w:pPr>
    </w:p>
    <w:p>
      <w:pPr>
        <w:jc w:val="both"/>
      </w:pPr>
      <w:r>
        <w:drawing>
          <wp:inline distT="0" distB="0" distL="114300" distR="114300">
            <wp:extent cx="5271770" cy="3200400"/>
            <wp:effectExtent l="0" t="0" r="508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1770" cy="3200400"/>
                    </a:xfrm>
                    <a:prstGeom prst="rect">
                      <a:avLst/>
                    </a:prstGeom>
                    <a:noFill/>
                    <a:ln w="9525">
                      <a:noFill/>
                    </a:ln>
                  </pic:spPr>
                </pic:pic>
              </a:graphicData>
            </a:graphic>
          </wp:inline>
        </w:drawing>
      </w:r>
    </w:p>
    <w:p>
      <w:pPr>
        <w:jc w:val="both"/>
      </w:pPr>
    </w:p>
    <w:p>
      <w:pPr>
        <w:jc w:val="both"/>
      </w:pPr>
    </w:p>
    <w:p>
      <w:pPr>
        <w:jc w:val="both"/>
      </w:pPr>
      <w:r>
        <w:drawing>
          <wp:inline distT="0" distB="0" distL="114300" distR="114300">
            <wp:extent cx="5257165" cy="7276465"/>
            <wp:effectExtent l="0" t="0" r="63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57165" cy="7276465"/>
                    </a:xfrm>
                    <a:prstGeom prst="rect">
                      <a:avLst/>
                    </a:prstGeom>
                    <a:noFill/>
                    <a:ln w="9525">
                      <a:noFill/>
                    </a:ln>
                  </pic:spPr>
                </pic:pic>
              </a:graphicData>
            </a:graphic>
          </wp:inline>
        </w:drawing>
      </w:r>
    </w:p>
    <w:p>
      <w:pPr>
        <w:jc w:val="both"/>
      </w:pPr>
    </w:p>
    <w:p>
      <w:pPr>
        <w:jc w:val="both"/>
      </w:pPr>
      <w:r>
        <w:drawing>
          <wp:inline distT="0" distB="0" distL="114300" distR="114300">
            <wp:extent cx="5273675" cy="4759960"/>
            <wp:effectExtent l="0" t="0" r="3175"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73675" cy="4759960"/>
                    </a:xfrm>
                    <a:prstGeom prst="rect">
                      <a:avLst/>
                    </a:prstGeom>
                    <a:noFill/>
                    <a:ln w="9525">
                      <a:noFill/>
                    </a:ln>
                  </pic:spPr>
                </pic:pic>
              </a:graphicData>
            </a:graphic>
          </wp:inline>
        </w:drawing>
      </w:r>
    </w:p>
    <w:p>
      <w:pPr>
        <w:jc w:val="both"/>
      </w:pPr>
    </w:p>
    <w:p>
      <w:pPr>
        <w:jc w:val="both"/>
      </w:pPr>
    </w:p>
    <w:p>
      <w:pPr>
        <w:jc w:val="both"/>
      </w:pPr>
    </w:p>
    <w:p>
      <w:pPr>
        <w:jc w:val="both"/>
      </w:pPr>
      <w:r>
        <w:drawing>
          <wp:inline distT="0" distB="0" distL="114300" distR="114300">
            <wp:extent cx="5228590" cy="7076440"/>
            <wp:effectExtent l="0" t="0" r="10160"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28590" cy="7076440"/>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r>
        <w:drawing>
          <wp:inline distT="0" distB="0" distL="114300" distR="114300">
            <wp:extent cx="5274310" cy="539115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74310" cy="5391150"/>
                    </a:xfrm>
                    <a:prstGeom prst="rect">
                      <a:avLst/>
                    </a:prstGeom>
                    <a:noFill/>
                    <a:ln w="9525">
                      <a:noFill/>
                    </a:ln>
                  </pic:spPr>
                </pic:pic>
              </a:graphicData>
            </a:graphic>
          </wp:inline>
        </w:drawing>
      </w:r>
    </w:p>
    <w:p>
      <w:pPr>
        <w:jc w:val="both"/>
      </w:pPr>
    </w:p>
    <w:p>
      <w:pPr>
        <w:jc w:val="both"/>
      </w:pPr>
      <w:r>
        <w:drawing>
          <wp:inline distT="0" distB="0" distL="114300" distR="114300">
            <wp:extent cx="5272405" cy="3169920"/>
            <wp:effectExtent l="0" t="0" r="4445" b="114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72405" cy="3169920"/>
                    </a:xfrm>
                    <a:prstGeom prst="rect">
                      <a:avLst/>
                    </a:prstGeom>
                    <a:noFill/>
                    <a:ln w="9525">
                      <a:noFill/>
                    </a:ln>
                  </pic:spPr>
                </pic:pic>
              </a:graphicData>
            </a:graphic>
          </wp:inline>
        </w:drawing>
      </w:r>
    </w:p>
    <w:p>
      <w:pPr>
        <w:jc w:val="both"/>
      </w:pPr>
      <w:r>
        <w:drawing>
          <wp:inline distT="0" distB="0" distL="114300" distR="114300">
            <wp:extent cx="5269865" cy="4173220"/>
            <wp:effectExtent l="0" t="0" r="6985" b="177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5269865" cy="4173220"/>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r>
        <w:drawing>
          <wp:inline distT="0" distB="0" distL="114300" distR="114300">
            <wp:extent cx="5268595" cy="4618355"/>
            <wp:effectExtent l="0" t="0" r="8255" b="1079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5268595" cy="4618355"/>
                    </a:xfrm>
                    <a:prstGeom prst="rect">
                      <a:avLst/>
                    </a:prstGeom>
                    <a:noFill/>
                    <a:ln w="9525">
                      <a:noFill/>
                    </a:ln>
                  </pic:spPr>
                </pic:pic>
              </a:graphicData>
            </a:graphic>
          </wp:inline>
        </w:drawing>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jc w:val="both"/>
        <w:rPr>
          <w:rFonts w:hint="eastAsia" w:ascii="方正小标宋简体" w:hAnsi="方正小标宋简体" w:eastAsia="方正小标宋简体" w:cs="方正小标宋简体"/>
          <w:sz w:val="44"/>
          <w:szCs w:val="44"/>
          <w:lang w:val="en-US" w:eastAsia="zh-CN"/>
        </w:rPr>
      </w:pP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罗定市结核病防治站2016年财政拨款收支总预算320 万元。收入全部为一般公共预算拨款，无政府性基金预算拨款，包括：一般公共预算当年拨款收入320  万元；支出包括：一般公共服务支出303  万元、社会保障和就业支出17  万元。上年度没有部门预算安排。</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罗定市结核病防治站2016年“三公”经费预算数为6.72  万元，其中：因公出国（境）费0  万元，公务用车购置及运行费4  万元，公务接待费2.72  万元。2016年“三公”经费预算与上年保持不变。</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2016年，本部门机关运行经费安排74万。其中：办公费7.6万，印刷费5万，邮电费2.3万，差旅费1.14万，会议费0.76万，办公用房水电费4.6万，公务用车运行维护费4万等。上年度没有部门预算安排。</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2016年本部门政府采购无资金安排。</w:t>
      </w:r>
    </w:p>
    <w:p>
      <w:pPr>
        <w:widowControl w:val="0"/>
        <w:numPr>
          <w:ilvl w:val="0"/>
          <w:numId w:val="0"/>
        </w:numPr>
        <w:ind w:firstLine="640"/>
        <w:jc w:val="both"/>
        <w:rPr>
          <w:rFonts w:hint="eastAsia" w:ascii="仿宋_GB2312" w:hAnsi="仿宋_GB2312" w:eastAsia="仿宋_GB2312" w:cs="仿宋_GB2312"/>
          <w:sz w:val="32"/>
          <w:szCs w:val="32"/>
          <w:lang w:val="en-US" w:eastAsia="zh-CN"/>
        </w:rPr>
      </w:pPr>
    </w:p>
    <w:p>
      <w:pPr>
        <w:widowControl w:val="0"/>
        <w:numPr>
          <w:ilvl w:val="0"/>
          <w:numId w:val="5"/>
        </w:numPr>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国有资产占用使用情况说明</w:t>
      </w:r>
    </w:p>
    <w:p>
      <w:pPr>
        <w:spacing w:line="580" w:lineRule="exact"/>
        <w:ind w:firstLine="640" w:firstLineChars="200"/>
        <w:rPr>
          <w:rFonts w:hint="eastAsia" w:ascii="仿宋_GB2312" w:eastAsia="仿宋_GB2312"/>
          <w:sz w:val="32"/>
          <w:szCs w:val="32"/>
        </w:rPr>
      </w:pPr>
      <w:r>
        <w:rPr>
          <w:rFonts w:hint="eastAsia" w:ascii="黑体" w:hAnsi="黑体" w:eastAsia="黑体" w:cs="黑体"/>
          <w:sz w:val="32"/>
          <w:szCs w:val="32"/>
          <w:lang w:val="en-US" w:eastAsia="zh-CN"/>
        </w:rPr>
        <w:t xml:space="preserve">  </w:t>
      </w:r>
      <w:r>
        <w:rPr>
          <w:rFonts w:hint="eastAsia" w:ascii="仿宋_GB2312" w:eastAsia="仿宋_GB2312"/>
          <w:sz w:val="32"/>
          <w:szCs w:val="32"/>
        </w:rPr>
        <w:t>本</w:t>
      </w:r>
      <w:r>
        <w:rPr>
          <w:rFonts w:hint="eastAsia" w:ascii="仿宋_GB2312" w:eastAsia="仿宋_GB2312"/>
          <w:sz w:val="32"/>
          <w:szCs w:val="32"/>
          <w:lang w:eastAsia="zh-CN"/>
        </w:rPr>
        <w:t>单位</w:t>
      </w:r>
      <w:r>
        <w:rPr>
          <w:rFonts w:hint="eastAsia" w:ascii="仿宋_GB2312" w:eastAsia="仿宋_GB2312"/>
          <w:sz w:val="32"/>
          <w:szCs w:val="32"/>
        </w:rPr>
        <w:t>共有车辆</w:t>
      </w:r>
      <w:r>
        <w:rPr>
          <w:rFonts w:hint="eastAsia" w:ascii="仿宋_GB2312" w:eastAsia="仿宋_GB2312"/>
          <w:sz w:val="32"/>
          <w:szCs w:val="32"/>
          <w:lang w:val="en-US" w:eastAsia="zh-CN"/>
        </w:rPr>
        <w:t>2</w:t>
      </w:r>
      <w:r>
        <w:rPr>
          <w:rFonts w:hint="eastAsia" w:ascii="仿宋_GB2312" w:eastAsia="仿宋_GB2312"/>
          <w:sz w:val="32"/>
          <w:szCs w:val="32"/>
        </w:rPr>
        <w:t>辆，其中，专业技术用车</w:t>
      </w:r>
      <w:r>
        <w:rPr>
          <w:rFonts w:hint="eastAsia" w:ascii="仿宋_GB2312" w:eastAsia="仿宋_GB2312"/>
          <w:sz w:val="32"/>
          <w:szCs w:val="32"/>
          <w:lang w:val="en-US" w:eastAsia="zh-CN"/>
        </w:rPr>
        <w:t>2</w:t>
      </w:r>
      <w:r>
        <w:rPr>
          <w:rFonts w:hint="eastAsia" w:ascii="仿宋_GB2312" w:eastAsia="仿宋_GB2312"/>
          <w:sz w:val="32"/>
          <w:szCs w:val="32"/>
        </w:rPr>
        <w:t>辆、其主要是</w:t>
      </w:r>
      <w:r>
        <w:rPr>
          <w:rFonts w:hint="eastAsia" w:ascii="仿宋_GB2312" w:eastAsia="仿宋_GB2312"/>
          <w:sz w:val="32"/>
          <w:szCs w:val="32"/>
          <w:lang w:eastAsia="zh-CN"/>
        </w:rPr>
        <w:t>单位菌株运送，结核病下乡督导工作等</w:t>
      </w:r>
      <w:r>
        <w:rPr>
          <w:rFonts w:hint="eastAsia" w:ascii="仿宋_GB2312" w:eastAsia="仿宋_GB2312"/>
          <w:sz w:val="32"/>
          <w:szCs w:val="32"/>
        </w:rPr>
        <w:t>；</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numId w:val="0"/>
        </w:numPr>
        <w:ind w:left="0" w:leftChars="0" w:firstLine="1059" w:firstLineChars="331"/>
        <w:jc w:val="both"/>
        <w:rPr>
          <w:rFonts w:hint="eastAsia" w:ascii="黑体" w:hAnsi="黑体" w:eastAsia="黑体" w:cs="黑体"/>
          <w:sz w:val="32"/>
          <w:szCs w:val="32"/>
          <w:lang w:val="en-US" w:eastAsia="zh-CN"/>
        </w:rPr>
      </w:pPr>
      <w:r>
        <w:rPr>
          <w:rFonts w:hint="eastAsia" w:ascii="仿宋_GB2312" w:eastAsia="仿宋_GB2312"/>
          <w:sz w:val="32"/>
          <w:szCs w:val="32"/>
          <w:lang w:val="en-US" w:eastAsia="zh-CN"/>
        </w:rPr>
        <w:t>2016年，我单位暂不进行预算绩效自评工作。</w:t>
      </w:r>
    </w:p>
    <w:p>
      <w:pPr>
        <w:widowControl w:val="0"/>
        <w:numPr>
          <w:ilvl w:val="0"/>
          <w:numId w:val="0"/>
        </w:numPr>
        <w:ind w:firstLine="640"/>
        <w:jc w:val="both"/>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numPr>
          <w:ilvl w:val="0"/>
          <w:numId w:val="6"/>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eastAsia="zh-CN"/>
        </w:rPr>
        <w:t>三</w:t>
      </w:r>
      <w:r>
        <w:rPr>
          <w:rFonts w:hint="eastAsia" w:ascii="仿宋_GB2312" w:eastAsia="仿宋_GB2312"/>
          <w:b/>
          <w:sz w:val="32"/>
          <w:szCs w:val="32"/>
        </w:rPr>
        <w:t>、用事业基金弥补收支差额：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eastAsia="zh-CN"/>
        </w:rPr>
        <w:t>四</w:t>
      </w:r>
      <w:r>
        <w:rPr>
          <w:rFonts w:hint="eastAsia" w:ascii="仿宋_GB2312" w:eastAsia="仿宋_GB2312"/>
          <w:b/>
          <w:sz w:val="32"/>
          <w:szCs w:val="32"/>
        </w:rPr>
        <w:t>、年初结转和结余：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eastAsia="zh-CN"/>
        </w:rPr>
        <w:t>五</w:t>
      </w:r>
      <w:r>
        <w:rPr>
          <w:rFonts w:hint="eastAsia" w:ascii="仿宋_GB2312" w:eastAsia="仿宋_GB2312"/>
          <w:b/>
          <w:sz w:val="32"/>
          <w:szCs w:val="32"/>
        </w:rPr>
        <w:t>、结余分配：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eastAsia="zh-CN"/>
        </w:rPr>
        <w:t>六</w:t>
      </w:r>
      <w:r>
        <w:rPr>
          <w:rFonts w:hint="eastAsia" w:ascii="仿宋_GB2312" w:eastAsia="仿宋_GB2312"/>
          <w:b/>
          <w:sz w:val="32"/>
          <w:szCs w:val="32"/>
        </w:rPr>
        <w:t>、年末结转和结余：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eastAsia="zh-CN"/>
        </w:rPr>
        <w:t>七</w:t>
      </w:r>
      <w:r>
        <w:rPr>
          <w:rFonts w:hint="eastAsia" w:ascii="仿宋_GB2312" w:eastAsia="仿宋_GB2312"/>
          <w:b/>
          <w:sz w:val="32"/>
          <w:szCs w:val="32"/>
        </w:rPr>
        <w:t>、基本支出：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eastAsia="zh-CN"/>
        </w:rPr>
        <w:t>八</w:t>
      </w:r>
      <w:r>
        <w:rPr>
          <w:rFonts w:hint="eastAsia" w:ascii="仿宋_GB2312" w:eastAsia="仿宋_GB2312"/>
          <w:b/>
          <w:sz w:val="32"/>
          <w:szCs w:val="32"/>
        </w:rPr>
        <w:t>、项目支出：</w:t>
      </w:r>
      <w:r>
        <w:rPr>
          <w:rFonts w:hint="eastAsia" w:ascii="仿宋_GB2312" w:eastAsia="仿宋_GB2312"/>
          <w:sz w:val="32"/>
          <w:szCs w:val="32"/>
        </w:rPr>
        <w:t>指在基本支出这外为完成特定行政任务和事业发展目标所发生的支出。</w:t>
      </w:r>
    </w:p>
    <w:p>
      <w:pPr>
        <w:ind w:firstLine="643" w:firstLineChars="200"/>
        <w:jc w:val="left"/>
        <w:rPr>
          <w:rFonts w:hint="eastAsia" w:ascii="楷体_GB2312" w:hAnsi="楷体_GB2312" w:eastAsia="楷体_GB2312" w:cs="楷体_GB2312"/>
          <w:sz w:val="32"/>
          <w:szCs w:val="32"/>
          <w:highlight w:val="lightGray"/>
          <w:lang w:val="en-US" w:eastAsia="zh-CN"/>
        </w:rPr>
      </w:pPr>
      <w:r>
        <w:rPr>
          <w:rFonts w:hint="eastAsia" w:ascii="仿宋_GB2312" w:eastAsia="仿宋_GB2312"/>
          <w:b/>
          <w:sz w:val="32"/>
          <w:szCs w:val="32"/>
          <w:lang w:eastAsia="zh-CN"/>
        </w:rPr>
        <w:t>九</w:t>
      </w:r>
      <w:r>
        <w:rPr>
          <w:rFonts w:hint="eastAsia" w:ascii="仿宋_GB2312" w:eastAsia="仿宋_GB2312"/>
          <w:b/>
          <w:sz w:val="32"/>
          <w:szCs w:val="32"/>
        </w:rPr>
        <w:t>、“三公”经费：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w:t>
      </w:r>
      <w:bookmarkStart w:id="0" w:name="_GoBack"/>
      <w:bookmarkEnd w:id="0"/>
      <w:r>
        <w:rPr>
          <w:rFonts w:hint="eastAsia" w:ascii="仿宋_GB2312" w:hAnsi="宋体" w:eastAsia="仿宋_GB2312" w:cs="宋体"/>
          <w:kern w:val="0"/>
          <w:sz w:val="32"/>
          <w:szCs w:val="32"/>
        </w:rPr>
        <w:t>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ind w:firstLine="640" w:firstLineChars="200"/>
        <w:jc w:val="left"/>
        <w:rPr>
          <w:rFonts w:hint="eastAsia" w:ascii="楷体_GB2312" w:hAnsi="楷体_GB2312" w:eastAsia="楷体_GB2312" w:cs="楷体_GB2312"/>
          <w:sz w:val="32"/>
          <w:szCs w:val="32"/>
          <w:highlight w:val="lightGray"/>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9B9267"/>
    <w:multiLevelType w:val="singleLevel"/>
    <w:tmpl w:val="EB9B9267"/>
    <w:lvl w:ilvl="0" w:tentative="0">
      <w:start w:val="1"/>
      <w:numFmt w:val="decimal"/>
      <w:suff w:val="nothing"/>
      <w:lvlText w:val="（%1）"/>
      <w:lvlJc w:val="left"/>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5F50C1"/>
    <w:multiLevelType w:val="singleLevel"/>
    <w:tmpl w:val="5A5F50C1"/>
    <w:lvl w:ilvl="0" w:tentative="0">
      <w:start w:val="1"/>
      <w:numFmt w:val="chineseCounting"/>
      <w:suff w:val="nothing"/>
      <w:lvlText w:val="%1、"/>
      <w:lvlJc w:val="left"/>
    </w:lvl>
  </w:abstractNum>
  <w:abstractNum w:abstractNumId="5">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69C3"/>
    <w:rsid w:val="0ADE650E"/>
    <w:rsid w:val="0BD82EFA"/>
    <w:rsid w:val="13016A31"/>
    <w:rsid w:val="1A571B9F"/>
    <w:rsid w:val="20EE6A13"/>
    <w:rsid w:val="30F66AAF"/>
    <w:rsid w:val="36E602DD"/>
    <w:rsid w:val="37191F69"/>
    <w:rsid w:val="45674052"/>
    <w:rsid w:val="475D354E"/>
    <w:rsid w:val="4A8939AA"/>
    <w:rsid w:val="4F812A86"/>
    <w:rsid w:val="50CB6A87"/>
    <w:rsid w:val="60E37A9B"/>
    <w:rsid w:val="66D06120"/>
    <w:rsid w:val="67C2662E"/>
    <w:rsid w:val="68691E98"/>
    <w:rsid w:val="6D9B07DA"/>
    <w:rsid w:val="6EAC4705"/>
    <w:rsid w:val="70BE3742"/>
    <w:rsid w:val="7A3D118F"/>
    <w:rsid w:val="7B264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2018-08-20T03:07:04Z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