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84"/>
          <w:szCs w:val="84"/>
          <w:lang w:val="en-US" w:eastAsia="zh-CN"/>
        </w:rPr>
        <w:t>2017</w:t>
      </w: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罗定市龙湾中学部门预算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罗定市龙湾中学概况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 201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年部门预算情况说明</w:t>
      </w:r>
    </w:p>
    <w:p>
      <w:pPr>
        <w:ind w:firstLine="64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罗定市龙湾中学概况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35" w:lineRule="atLeast"/>
        <w:ind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组织教育教学、科学研究活动，保证教育教学质量。维护教职工利益，保障教职工合法权益，以教职工和学生的人生幸福和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"https://www.baidu.com/s?wd=%E7%94%9F%E5%91%BD%E8%B4%A8%E9%87%8F&amp;tn=44039180_cpr&amp;fenlei=mv6quAkxTZn0IZRqIHckPjm4nH00T1dBryw-P19bPj-9rAuhnWRY0ZwV5Hcvrjm3rH6sPfKWUMw85HfYnjn4nH6sgvPsT6KdThsqpZwYTjCEQLGCpyw9Uz4Bmy-bIi4WUvYETgN-TLwGUv3En1c1rj0kn1Ts" \t "https://zhidao.baidu.com/question/_blank" </w:instrTex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生命质量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作为重点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二、机构设置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本部门无下属单位，部门预算为本级预算。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</w:p>
    <w:p>
      <w:pPr>
        <w:spacing w:line="288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定市龙湾中学设置有校长室、副校长室、教导处、德育处、办公室、总务处、体卫艺、团委八个处室。校长室负责学校的全面工作；副校长室协助校长处理学校的日常事务；教导处主管学校的教学工作；德育处主管学生的德育管理工作；办公室负责学校的对外宣传和日常事务协调；总务处主管学校的后勤工作；体卫艺负责学校的文体活动；团委负责学生团员的相关工作。我校有教职工</w:t>
      </w:r>
      <w:r>
        <w:rPr>
          <w:rFonts w:hint="eastAsia"/>
          <w:sz w:val="30"/>
          <w:szCs w:val="30"/>
          <w:lang w:val="en-US" w:eastAsia="zh-CN"/>
        </w:rPr>
        <w:t>66</w:t>
      </w:r>
      <w:r>
        <w:rPr>
          <w:rFonts w:hint="eastAsia"/>
          <w:sz w:val="30"/>
          <w:szCs w:val="30"/>
        </w:rPr>
        <w:t>人，临时工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</w:rPr>
        <w:t>人，退休5人，学生</w:t>
      </w:r>
      <w:r>
        <w:rPr>
          <w:rFonts w:hint="eastAsia"/>
          <w:sz w:val="30"/>
          <w:szCs w:val="30"/>
          <w:lang w:val="en-US" w:eastAsia="zh-CN"/>
        </w:rPr>
        <w:t>7</w:t>
      </w:r>
      <w:r>
        <w:rPr>
          <w:rFonts w:hint="default"/>
          <w:sz w:val="30"/>
          <w:szCs w:val="30"/>
          <w:lang w:val="en-US" w:eastAsia="zh-CN"/>
        </w:rPr>
        <w:t>38</w:t>
      </w:r>
      <w:r>
        <w:rPr>
          <w:rFonts w:hint="eastAsia"/>
          <w:sz w:val="30"/>
          <w:szCs w:val="30"/>
        </w:rPr>
        <w:t>人。</w:t>
      </w:r>
    </w:p>
    <w:p>
      <w:pPr>
        <w:ind w:firstLine="750" w:firstLineChars="250"/>
        <w:rPr>
          <w:rFonts w:hint="eastAsia"/>
          <w:sz w:val="30"/>
          <w:szCs w:val="30"/>
        </w:rPr>
      </w:pPr>
    </w:p>
    <w:p>
      <w:pPr>
        <w:ind w:firstLine="750" w:firstLineChars="250"/>
        <w:rPr>
          <w:rFonts w:hint="eastAsia"/>
          <w:sz w:val="30"/>
          <w:szCs w:val="30"/>
        </w:rPr>
      </w:pPr>
    </w:p>
    <w:p>
      <w:pPr>
        <w:ind w:firstLine="750" w:firstLineChars="250"/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第二部分  201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年部门预算表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一、收支总体情况表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675" cy="3190875"/>
            <wp:effectExtent l="0" t="0" r="317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二、收入总体情况表</w:t>
      </w:r>
      <w:r>
        <w:drawing>
          <wp:inline distT="0" distB="0" distL="114300" distR="114300">
            <wp:extent cx="4325620" cy="3839845"/>
            <wp:effectExtent l="0" t="0" r="1778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5620" cy="3839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三、支出总体情况表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4552315" cy="7942580"/>
            <wp:effectExtent l="0" t="0" r="635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794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四、财政拨款收支总体情况表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67960" cy="2507615"/>
            <wp:effectExtent l="0" t="0" r="889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07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五、一般公共预算支出情况表（按功能分类科目）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99710" cy="3295015"/>
            <wp:effectExtent l="0" t="0" r="1524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六、一般公共预算基本支出情况表（按支出经济分类科目）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8084820"/>
            <wp:effectExtent l="0" t="0" r="508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084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8153400"/>
            <wp:effectExtent l="0" t="0" r="508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七、一般公共预算项目支出情况表（按支出经济分类科目）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0500" cy="81915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八、一般公共预算安排的行政经费及“三公”经费预算表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7438390"/>
            <wp:effectExtent l="0" t="0" r="5080" b="1016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3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九、政府性基金预算支出情况表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3109595"/>
            <wp:effectExtent l="0" t="0" r="4445" b="146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9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十、部门预算基本支出预算表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71770" cy="4752975"/>
            <wp:effectExtent l="0" t="0" r="508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十一、部门预算项目支出及其他支出预算表</w:t>
      </w:r>
    </w:p>
    <w:p>
      <w:pPr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4680585"/>
            <wp:effectExtent l="0" t="0" r="762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68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年部门预算情况说明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部门预算收支增减变化情况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年本部门收入预算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万元，比上年增加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%，主要原因是上级对人员工资增长部分的拨款；支出预算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万元，比上年增加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%，主要原因是人员的工资增长。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“三公”经费安排情况说明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年本部门“三公”经费预算安排1.3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比上年减少1.01万元，减少43.34%，主要原因是压缩招待费开支。其中：因公出国（境）费0万元，比上年增加0万元，增长0%，主要原因与上年保持不变；公务用车购置及运行费0万元，比上年增加0万元，增长0%，主要原因是与上年保持不变；公务接待费1.32万元，比上年减少1.01万元，减少43.34%，主要原因是压缩招待费开支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机关运行经费安排情况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年，本部门机关运行经费安排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134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比上年减少10万元，减少6.94%，主要原因是压缩办公经费开支。其中：办公费73.5，印刷费1.7，邮电费2.1，差旅费5.1，会议费0万元，福利费0万元，日常维修费32.9，专用材料及一般设备购置费5万元，办公用房水电费13.7，办公用房取暖费0万元，办公用房物业管理费0万元，公务用车运行维护费0万元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政府采购情况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2017年本部门政府采购安排8万元，其中：货物类采购预算8万元，工程类采购预算0万元，服务类采购预算0万元等。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国有资产占有使用情况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截至2016年12月31日，本部门占有使用国有资产总体情况为：922.09万元，分布构成情况为：通用设备748.23万元，专用设备63.32万，文物和陈列品4.4万，图书41.73万，家具64.41万元，主要实物资产数据情况为：922.09万元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，资产变动情况为：新增固定资产27.93万元。</w:t>
      </w:r>
    </w:p>
    <w:p>
      <w:pPr>
        <w:numPr>
          <w:ilvl w:val="0"/>
          <w:numId w:val="5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预算绩效信息公开情况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年，本部门无推进预算绩效信息公开的有关工作情况。</w:t>
      </w: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4"/>
        </w:numPr>
        <w:ind w:left="0" w:leftChars="0"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名词解释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全口径预算。</w:t>
      </w:r>
      <w:r>
        <w:rPr>
          <w:rStyle w:val="6"/>
          <w:lang w:val="en-US" w:eastAsia="zh-CN" w:bidi="ar"/>
        </w:rPr>
        <w:t>根据预算法第5条，指将全部政府收支纳入预算，并实行与其性质相适应的管理和监督，使政府预算做到体系完整、结构清晰、权责匹配、公开透明。包括一般公共预算、政府性基金预算、国有资本经营预算、社会保险基金预算。</w:t>
      </w:r>
      <w:r>
        <w:rPr>
          <w:rStyle w:val="6"/>
          <w:lang w:val="en-US" w:eastAsia="zh-CN" w:bidi="ar"/>
        </w:rPr>
        <w:br w:type="textWrapping"/>
      </w:r>
      <w:r>
        <w:rPr>
          <w:rStyle w:val="6"/>
          <w:lang w:val="en-US" w:eastAsia="zh-CN" w:bidi="ar"/>
        </w:rPr>
        <w:t xml:space="preserve">    </w:t>
      </w:r>
      <w:r>
        <w:rPr>
          <w:rStyle w:val="7"/>
          <w:lang w:val="en-US" w:eastAsia="zh-CN" w:bidi="ar"/>
        </w:rPr>
        <w:t>一般公共预算。</w:t>
      </w:r>
      <w:r>
        <w:rPr>
          <w:rStyle w:val="6"/>
          <w:lang w:val="en-US" w:eastAsia="zh-CN" w:bidi="ar"/>
        </w:rPr>
        <w:t>是指是对以税收为主体的财政收入，安排用于保障和改善民生、推动经济社会发展、维护国家安全、维持国家机构正常运转等方面的收支预算。透过一般公共预算，可以使人们了解政府活动的范围和方向，也可以体现政府政策意图和目标。</w:t>
      </w:r>
      <w:r>
        <w:rPr>
          <w:rStyle w:val="6"/>
          <w:lang w:val="en-US" w:eastAsia="zh-CN" w:bidi="ar"/>
        </w:rPr>
        <w:br w:type="textWrapping"/>
      </w:r>
      <w:r>
        <w:rPr>
          <w:rStyle w:val="6"/>
          <w:lang w:val="en-US" w:eastAsia="zh-CN" w:bidi="ar"/>
        </w:rPr>
        <w:t xml:space="preserve">    </w:t>
      </w:r>
      <w:r>
        <w:rPr>
          <w:rStyle w:val="7"/>
          <w:lang w:val="en-US" w:eastAsia="zh-CN" w:bidi="ar"/>
        </w:rPr>
        <w:t>部门预算。</w:t>
      </w:r>
      <w:r>
        <w:rPr>
          <w:rStyle w:val="6"/>
          <w:lang w:val="en-US" w:eastAsia="zh-CN" w:bidi="ar"/>
        </w:rPr>
        <w:t>是指政府部门依据国家有关法律、法规、政策及其履行职能需要，编制的反映政府各部门所有收入和支出情况的年度财政收入预算。部门预算由本部门及其所属各单位预算组成，由基层预算单位开始编制，逐级上报、审核、汇总，经财政部门审核，提交立法机关依法批准后执行。</w:t>
      </w:r>
      <w:r>
        <w:rPr>
          <w:rStyle w:val="6"/>
          <w:lang w:val="en-US" w:eastAsia="zh-CN" w:bidi="ar"/>
        </w:rPr>
        <w:br w:type="textWrapping"/>
      </w:r>
      <w:r>
        <w:rPr>
          <w:rStyle w:val="6"/>
          <w:lang w:val="en-US" w:eastAsia="zh-CN" w:bidi="ar"/>
        </w:rPr>
        <w:t xml:space="preserve">    </w:t>
      </w:r>
      <w:r>
        <w:rPr>
          <w:rStyle w:val="7"/>
          <w:lang w:val="en-US" w:eastAsia="zh-CN" w:bidi="ar"/>
        </w:rPr>
        <w:t>“三公”经费。</w:t>
      </w:r>
      <w:r>
        <w:rPr>
          <w:rStyle w:val="6"/>
          <w:lang w:val="en-US" w:eastAsia="zh-CN" w:bidi="ar"/>
        </w:rPr>
        <w:t>指公务接待费、因公出国（境）费用、公务用车购置及运行维护费。</w:t>
      </w:r>
      <w:r>
        <w:rPr>
          <w:rStyle w:val="6"/>
          <w:lang w:val="en-US" w:eastAsia="zh-CN" w:bidi="ar"/>
        </w:rPr>
        <w:br w:type="textWrapping"/>
      </w:r>
      <w:r>
        <w:rPr>
          <w:rStyle w:val="6"/>
          <w:lang w:val="en-US" w:eastAsia="zh-CN" w:bidi="ar"/>
        </w:rPr>
        <w:t xml:space="preserve">   </w:t>
      </w:r>
      <w:r>
        <w:rPr>
          <w:rStyle w:val="7"/>
          <w:lang w:val="en-US" w:eastAsia="zh-CN" w:bidi="ar"/>
        </w:rPr>
        <w:t xml:space="preserve"> 一般公共预算收入（原公共财政预算收入）。</w:t>
      </w:r>
      <w:r>
        <w:rPr>
          <w:rStyle w:val="6"/>
          <w:lang w:val="en-US" w:eastAsia="zh-CN" w:bidi="ar"/>
        </w:rPr>
        <w:t>是按照财政部规定的统一科目和口径统计的收入，包括地方固定收入以及中央与地方共享收入中地方所得部分。地方各级财政总收入减去上划中央、省收入即为一般公共预算收入。</w:t>
      </w: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8B38"/>
    <w:multiLevelType w:val="singleLevel"/>
    <w:tmpl w:val="02168B38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600927"/>
    <w:multiLevelType w:val="singleLevel"/>
    <w:tmpl w:val="5A6009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70B78"/>
    <w:rsid w:val="04DA6C94"/>
    <w:rsid w:val="07D713F6"/>
    <w:rsid w:val="11DB5692"/>
    <w:rsid w:val="13016A31"/>
    <w:rsid w:val="20EE6A13"/>
    <w:rsid w:val="215F26BF"/>
    <w:rsid w:val="21E579EC"/>
    <w:rsid w:val="2ED11B91"/>
    <w:rsid w:val="3049656E"/>
    <w:rsid w:val="30FA065A"/>
    <w:rsid w:val="34814AC0"/>
    <w:rsid w:val="36E602DD"/>
    <w:rsid w:val="41441B9F"/>
    <w:rsid w:val="41C1650A"/>
    <w:rsid w:val="4A025926"/>
    <w:rsid w:val="4C4D6FBA"/>
    <w:rsid w:val="50BA30AF"/>
    <w:rsid w:val="50CB6A87"/>
    <w:rsid w:val="51BF1229"/>
    <w:rsid w:val="559F0C67"/>
    <w:rsid w:val="56F76EBF"/>
    <w:rsid w:val="588C1B79"/>
    <w:rsid w:val="5DB67406"/>
    <w:rsid w:val="60E37A9B"/>
    <w:rsid w:val="66D06120"/>
    <w:rsid w:val="6D9B07DA"/>
    <w:rsid w:val="7A3D118F"/>
    <w:rsid w:val="7CAB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01"/>
    <w:basedOn w:val="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7">
    <w:name w:val="font11"/>
    <w:basedOn w:val="3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风际1404305046</cp:lastModifiedBy>
  <cp:lastPrinted>2018-03-27T02:53:00Z</cp:lastPrinted>
  <dcterms:modified xsi:type="dcterms:W3CDTF">2018-04-01T14:00:46Z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