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0"/>
        <w:jc w:val="center"/>
        <w:rPr>
          <w:rFonts w:hint="eastAsia" w:ascii="方正小标宋简体" w:eastAsia="方正小标宋简体"/>
          <w:sz w:val="52"/>
          <w:szCs w:val="52"/>
          <w:lang w:val="en-US" w:eastAsia="zh-CN"/>
        </w:rPr>
      </w:pPr>
      <w:r>
        <w:rPr>
          <w:rFonts w:hint="eastAsia" w:ascii="方正小标宋简体" w:eastAsia="方正小标宋简体"/>
          <w:sz w:val="52"/>
          <w:szCs w:val="52"/>
          <w:lang w:val="en-US" w:eastAsia="zh-CN"/>
        </w:rPr>
        <w:t>2016年度</w:t>
      </w:r>
    </w:p>
    <w:p>
      <w:pPr>
        <w:jc w:val="center"/>
        <w:rPr>
          <w:rFonts w:hint="eastAsia" w:ascii="方正小标宋简体" w:eastAsia="方正小标宋简体"/>
          <w:sz w:val="48"/>
          <w:szCs w:val="48"/>
          <w:lang w:val="en-US" w:eastAsia="zh-CN"/>
        </w:rPr>
      </w:pPr>
      <w:r>
        <w:rPr>
          <w:rFonts w:hint="eastAsia" w:ascii="方正小标宋简体" w:eastAsia="方正小标宋简体"/>
          <w:sz w:val="48"/>
          <w:szCs w:val="48"/>
          <w:lang w:val="en-US" w:eastAsia="zh-CN"/>
        </w:rPr>
        <w:t>罗定市罗城街道罗城社区卫生服务中心</w:t>
      </w:r>
    </w:p>
    <w:p>
      <w:pPr>
        <w:jc w:val="center"/>
        <w:rPr>
          <w:rFonts w:hint="eastAsia" w:ascii="方正小标宋简体" w:eastAsia="方正小标宋简体"/>
          <w:sz w:val="48"/>
          <w:szCs w:val="48"/>
          <w:lang w:val="en-US" w:eastAsia="zh-CN"/>
        </w:rPr>
      </w:pPr>
      <w:r>
        <w:rPr>
          <w:rFonts w:hint="eastAsia" w:ascii="方正小标宋简体" w:eastAsia="方正小标宋简体"/>
          <w:sz w:val="48"/>
          <w:szCs w:val="48"/>
          <w:lang w:val="en-US" w:eastAsia="zh-CN"/>
        </w:rPr>
        <w:t>部门决算公开</w:t>
      </w:r>
    </w:p>
    <w:p/>
    <w:p/>
    <w:p/>
    <w:p/>
    <w:p/>
    <w:p/>
    <w:p/>
    <w:p/>
    <w:p/>
    <w:p/>
    <w:p/>
    <w:p/>
    <w:p/>
    <w:p/>
    <w:p/>
    <w:p/>
    <w:p/>
    <w:p/>
    <w:p/>
    <w:p/>
    <w:p/>
    <w:p/>
    <w:p/>
    <w:p/>
    <w:p/>
    <w:p/>
    <w:p/>
    <w:p/>
    <w:p/>
    <w:p/>
    <w:p/>
    <w:p/>
    <w:p/>
    <w:p/>
    <w:p/>
    <w:p/>
    <w:p/>
    <w:p>
      <w:pPr>
        <w:ind w:left="0"/>
        <w:jc w:val="center"/>
        <w:rPr>
          <w:rFonts w:ascii="黑体" w:hAnsi="宋体" w:eastAsia="黑体"/>
          <w:b/>
          <w:sz w:val="44"/>
          <w:szCs w:val="44"/>
        </w:rPr>
      </w:pPr>
      <w:r>
        <w:rPr>
          <w:rFonts w:hint="eastAsia" w:ascii="黑体" w:hAnsi="宋体" w:eastAsia="黑体"/>
          <w:b/>
          <w:sz w:val="44"/>
          <w:szCs w:val="44"/>
        </w:rPr>
        <w:t>目       录</w:t>
      </w:r>
    </w:p>
    <w:p>
      <w:pPr>
        <w:jc w:val="center"/>
        <w:rPr>
          <w:rFonts w:ascii="仿宋_GB2312" w:hAnsi="宋体" w:eastAsia="仿宋_GB2312"/>
          <w:sz w:val="32"/>
          <w:szCs w:val="32"/>
        </w:rPr>
      </w:pPr>
    </w:p>
    <w:p>
      <w:pPr>
        <w:numPr>
          <w:ilvl w:val="0"/>
          <w:numId w:val="1"/>
        </w:numPr>
        <w:spacing w:line="288" w:lineRule="auto"/>
        <w:ind w:firstLine="0" w:firstLineChars="0"/>
        <w:jc w:val="center"/>
        <w:outlineLvl w:val="0"/>
        <w:rPr>
          <w:rFonts w:hint="eastAsia" w:ascii="宋体" w:hAnsi="宋体" w:eastAsia="宋体"/>
          <w:b/>
          <w:sz w:val="36"/>
          <w:szCs w:val="36"/>
        </w:rPr>
      </w:pPr>
    </w:p>
    <w:p>
      <w:pPr>
        <w:numPr>
          <w:ilvl w:val="0"/>
          <w:numId w:val="0"/>
        </w:numPr>
        <w:spacing w:line="288" w:lineRule="auto"/>
        <w:jc w:val="center"/>
        <w:outlineLvl w:val="0"/>
        <w:rPr>
          <w:rFonts w:ascii="宋体" w:hAnsi="宋体" w:eastAsia="宋体"/>
          <w:b/>
          <w:sz w:val="32"/>
          <w:szCs w:val="32"/>
        </w:rPr>
      </w:pPr>
      <w:r>
        <w:rPr>
          <w:rFonts w:hint="eastAsia" w:ascii="宋体" w:hAnsi="宋体"/>
          <w:b/>
          <w:sz w:val="32"/>
          <w:szCs w:val="32"/>
          <w:lang w:eastAsia="zh-CN"/>
        </w:rPr>
        <w:t>罗定市罗城街道罗城社区卫生服务中心</w:t>
      </w:r>
      <w:r>
        <w:rPr>
          <w:rFonts w:hint="eastAsia" w:ascii="宋体" w:hAnsi="宋体" w:eastAsia="宋体"/>
          <w:b/>
          <w:sz w:val="32"/>
          <w:szCs w:val="32"/>
        </w:rPr>
        <w:t>概况</w:t>
      </w:r>
    </w:p>
    <w:p>
      <w:pPr>
        <w:spacing w:line="288" w:lineRule="auto"/>
        <w:rPr>
          <w:rFonts w:ascii="仿宋_GB2312" w:eastAsia="仿宋_GB2312"/>
          <w:sz w:val="32"/>
          <w:szCs w:val="32"/>
        </w:rPr>
      </w:pPr>
      <w:r>
        <w:rPr>
          <w:rFonts w:hint="eastAsia" w:ascii="仿宋_GB2312" w:eastAsia="仿宋_GB2312"/>
          <w:sz w:val="32"/>
          <w:szCs w:val="32"/>
        </w:rPr>
        <w:t>一、 部门</w:t>
      </w:r>
      <w:r>
        <w:rPr>
          <w:rFonts w:hint="eastAsia" w:ascii="仿宋_GB2312" w:eastAsia="仿宋_GB2312"/>
          <w:sz w:val="32"/>
          <w:szCs w:val="32"/>
          <w:lang w:eastAsia="zh-CN"/>
        </w:rPr>
        <w:t>职责</w:t>
      </w:r>
    </w:p>
    <w:p>
      <w:pPr>
        <w:spacing w:line="288" w:lineRule="auto"/>
        <w:rPr>
          <w:rFonts w:hint="eastAsia" w:ascii="宋体" w:hAnsi="宋体" w:eastAsia="宋体"/>
          <w:b/>
          <w:sz w:val="36"/>
          <w:szCs w:val="36"/>
        </w:rPr>
      </w:pPr>
      <w:r>
        <w:rPr>
          <w:rFonts w:hint="eastAsia" w:ascii="仿宋_GB2312" w:eastAsia="仿宋_GB2312"/>
          <w:sz w:val="32"/>
          <w:szCs w:val="32"/>
        </w:rPr>
        <w:t xml:space="preserve">二、 </w:t>
      </w:r>
      <w:r>
        <w:rPr>
          <w:rFonts w:hint="eastAsia" w:ascii="仿宋_GB2312" w:eastAsia="仿宋_GB2312"/>
          <w:sz w:val="32"/>
          <w:szCs w:val="32"/>
          <w:lang w:eastAsia="zh-CN"/>
        </w:rPr>
        <w:t>机构设置</w:t>
      </w:r>
    </w:p>
    <w:p>
      <w:pPr>
        <w:spacing w:line="288" w:lineRule="auto"/>
        <w:jc w:val="center"/>
        <w:outlineLvl w:val="0"/>
        <w:rPr>
          <w:rFonts w:hint="eastAsia" w:ascii="宋体" w:hAnsi="宋体" w:eastAsia="宋体"/>
          <w:b/>
          <w:sz w:val="32"/>
          <w:szCs w:val="32"/>
        </w:rPr>
      </w:pPr>
      <w:r>
        <w:rPr>
          <w:rFonts w:hint="eastAsia" w:ascii="宋体" w:hAnsi="宋体" w:eastAsia="宋体"/>
          <w:b/>
          <w:sz w:val="36"/>
          <w:szCs w:val="36"/>
        </w:rPr>
        <w:t>第二部分</w:t>
      </w:r>
    </w:p>
    <w:p>
      <w:pPr>
        <w:spacing w:line="288" w:lineRule="auto"/>
        <w:jc w:val="center"/>
        <w:outlineLvl w:val="0"/>
        <w:rPr>
          <w:rFonts w:ascii="宋体" w:hAnsi="宋体" w:eastAsia="宋体"/>
          <w:b/>
          <w:sz w:val="32"/>
          <w:szCs w:val="32"/>
        </w:rPr>
      </w:pPr>
      <w:r>
        <w:rPr>
          <w:rFonts w:hint="eastAsia" w:ascii="宋体" w:hAnsi="宋体"/>
          <w:b/>
          <w:sz w:val="32"/>
          <w:szCs w:val="32"/>
          <w:lang w:eastAsia="zh-CN"/>
        </w:rPr>
        <w:t>罗定市罗城街道罗城社区卫生服务中心</w:t>
      </w:r>
      <w:r>
        <w:rPr>
          <w:rFonts w:hint="eastAsia" w:ascii="宋体" w:hAnsi="宋体"/>
          <w:b/>
          <w:sz w:val="32"/>
          <w:szCs w:val="32"/>
          <w:lang w:val="en-US" w:eastAsia="zh-CN"/>
        </w:rPr>
        <w:t>2016</w:t>
      </w:r>
      <w:r>
        <w:rPr>
          <w:rFonts w:hint="eastAsia" w:ascii="宋体" w:hAnsi="宋体" w:eastAsia="宋体"/>
          <w:b/>
          <w:sz w:val="32"/>
          <w:szCs w:val="32"/>
        </w:rPr>
        <w:t>年部门决算表</w:t>
      </w:r>
    </w:p>
    <w:p>
      <w:pPr>
        <w:spacing w:line="288" w:lineRule="auto"/>
        <w:rPr>
          <w:rFonts w:ascii="仿宋_GB2312" w:eastAsia="仿宋_GB2312"/>
          <w:b/>
          <w:sz w:val="32"/>
          <w:szCs w:val="32"/>
        </w:rPr>
      </w:pPr>
      <w:r>
        <w:rPr>
          <w:rFonts w:hint="eastAsia" w:ascii="仿宋_GB2312" w:eastAsia="仿宋_GB2312"/>
          <w:sz w:val="32"/>
          <w:szCs w:val="32"/>
        </w:rPr>
        <w:t>一、</w:t>
      </w:r>
      <w:r>
        <w:rPr>
          <w:rFonts w:hint="eastAsia" w:ascii="仿宋_GB2312" w:hAnsi="宋体" w:eastAsia="仿宋_GB2312" w:cs="宋体"/>
          <w:kern w:val="0"/>
          <w:sz w:val="32"/>
          <w:szCs w:val="32"/>
        </w:rPr>
        <w:t>收入支出决算总表</w:t>
      </w:r>
    </w:p>
    <w:p>
      <w:pPr>
        <w:spacing w:line="288" w:lineRule="auto"/>
        <w:outlineLvl w:val="0"/>
        <w:rPr>
          <w:rFonts w:ascii="仿宋_GB2312" w:hAnsi="宋体" w:eastAsia="仿宋_GB2312" w:cs="宋体"/>
          <w:kern w:val="0"/>
          <w:sz w:val="32"/>
          <w:szCs w:val="32"/>
        </w:rPr>
      </w:pPr>
      <w:r>
        <w:rPr>
          <w:rFonts w:hint="eastAsia" w:ascii="仿宋_GB2312" w:eastAsia="仿宋_GB2312"/>
          <w:sz w:val="32"/>
          <w:szCs w:val="32"/>
        </w:rPr>
        <w:t>二、</w:t>
      </w:r>
      <w:r>
        <w:rPr>
          <w:rFonts w:hint="eastAsia" w:ascii="仿宋_GB2312" w:hAnsi="宋体" w:eastAsia="仿宋_GB2312" w:cs="宋体"/>
          <w:kern w:val="0"/>
          <w:sz w:val="32"/>
          <w:szCs w:val="32"/>
        </w:rPr>
        <w:t>收入决算表</w:t>
      </w:r>
    </w:p>
    <w:p>
      <w:pPr>
        <w:spacing w:line="288" w:lineRule="auto"/>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三、支出决算表</w:t>
      </w:r>
    </w:p>
    <w:p>
      <w:pPr>
        <w:spacing w:line="288" w:lineRule="auto"/>
        <w:outlineLvl w:val="0"/>
        <w:rPr>
          <w:rFonts w:ascii="仿宋_GB2312" w:eastAsia="仿宋_GB2312"/>
          <w:sz w:val="32"/>
          <w:szCs w:val="32"/>
        </w:rPr>
      </w:pPr>
      <w:r>
        <w:rPr>
          <w:rFonts w:hint="eastAsia" w:ascii="仿宋_GB2312" w:hAnsi="宋体" w:eastAsia="仿宋_GB2312" w:cs="宋体"/>
          <w:kern w:val="0"/>
          <w:sz w:val="32"/>
          <w:szCs w:val="32"/>
        </w:rPr>
        <w:t>四、财政拨款收入支出决算总表</w:t>
      </w:r>
    </w:p>
    <w:p>
      <w:pPr>
        <w:spacing w:line="288" w:lineRule="auto"/>
        <w:outlineLvl w:val="0"/>
        <w:rPr>
          <w:rFonts w:ascii="仿宋_GB2312" w:hAnsi="宋体" w:eastAsia="仿宋_GB2312" w:cs="宋体"/>
          <w:kern w:val="0"/>
          <w:sz w:val="32"/>
          <w:szCs w:val="32"/>
        </w:rPr>
      </w:pPr>
      <w:r>
        <w:rPr>
          <w:rFonts w:hint="eastAsia" w:ascii="仿宋_GB2312" w:hAnsi="宋体" w:eastAsia="仿宋_GB2312" w:cs="宋体"/>
          <w:kern w:val="0"/>
          <w:sz w:val="32"/>
          <w:szCs w:val="32"/>
        </w:rPr>
        <w:t>五、一般公共预算财政拨款支出决算表</w:t>
      </w:r>
    </w:p>
    <w:p>
      <w:pPr>
        <w:spacing w:line="288" w:lineRule="auto"/>
        <w:rPr>
          <w:rFonts w:ascii="仿宋_GB2312" w:eastAsia="仿宋_GB2312"/>
          <w:sz w:val="32"/>
          <w:szCs w:val="32"/>
        </w:rPr>
      </w:pPr>
      <w:r>
        <w:rPr>
          <w:rFonts w:hint="eastAsia" w:ascii="仿宋_GB2312" w:hAnsi="宋体" w:eastAsia="仿宋_GB2312" w:cs="宋体"/>
          <w:kern w:val="0"/>
          <w:sz w:val="32"/>
          <w:szCs w:val="32"/>
        </w:rPr>
        <w:t>六、一般公共预算财政拨款基本支出决算表</w:t>
      </w:r>
    </w:p>
    <w:p>
      <w:pPr>
        <w:spacing w:line="288" w:lineRule="auto"/>
        <w:rPr>
          <w:rFonts w:ascii="仿宋_GB2312" w:hAnsi="宋体" w:eastAsia="仿宋_GB2312" w:cs="宋体"/>
          <w:kern w:val="0"/>
          <w:sz w:val="32"/>
          <w:szCs w:val="32"/>
        </w:rPr>
      </w:pPr>
      <w:r>
        <w:rPr>
          <w:rFonts w:hint="eastAsia" w:ascii="仿宋_GB2312" w:hAnsi="宋体" w:eastAsia="仿宋_GB2312" w:cs="宋体"/>
          <w:kern w:val="0"/>
          <w:sz w:val="32"/>
          <w:szCs w:val="32"/>
        </w:rPr>
        <w:t>七、</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财政拨款“三公”经费支出决算表</w:t>
      </w:r>
    </w:p>
    <w:p>
      <w:pPr>
        <w:spacing w:line="288" w:lineRule="auto"/>
        <w:rPr>
          <w:rFonts w:hint="eastAsia" w:ascii="宋体" w:hAnsi="宋体" w:eastAsia="宋体"/>
          <w:b/>
          <w:sz w:val="36"/>
          <w:szCs w:val="36"/>
        </w:rPr>
      </w:pPr>
      <w:r>
        <w:rPr>
          <w:rFonts w:hint="eastAsia" w:ascii="仿宋_GB2312" w:hAnsi="宋体" w:eastAsia="仿宋_GB2312" w:cs="宋体"/>
          <w:kern w:val="0"/>
          <w:sz w:val="32"/>
          <w:szCs w:val="32"/>
        </w:rPr>
        <w:t>八、政府性基金预算财政拨款收入支出决算表</w:t>
      </w:r>
    </w:p>
    <w:p>
      <w:pPr>
        <w:spacing w:line="288" w:lineRule="auto"/>
        <w:jc w:val="center"/>
        <w:outlineLvl w:val="0"/>
        <w:rPr>
          <w:rFonts w:hint="eastAsia" w:ascii="宋体" w:hAnsi="宋体" w:eastAsia="宋体"/>
          <w:b/>
          <w:sz w:val="36"/>
          <w:szCs w:val="36"/>
        </w:rPr>
      </w:pPr>
      <w:r>
        <w:rPr>
          <w:rFonts w:hint="eastAsia" w:ascii="宋体" w:hAnsi="宋体" w:eastAsia="宋体"/>
          <w:b/>
          <w:sz w:val="36"/>
          <w:szCs w:val="36"/>
        </w:rPr>
        <w:t>第三部分</w:t>
      </w:r>
    </w:p>
    <w:p>
      <w:pPr>
        <w:spacing w:line="288" w:lineRule="auto"/>
        <w:outlineLvl w:val="0"/>
        <w:rPr>
          <w:rFonts w:ascii="仿宋_GB2312" w:eastAsia="仿宋_GB2312"/>
          <w:b/>
          <w:sz w:val="32"/>
          <w:szCs w:val="32"/>
        </w:rPr>
      </w:pPr>
      <w:r>
        <w:rPr>
          <w:rFonts w:hint="eastAsia" w:ascii="宋体" w:hAnsi="宋体"/>
          <w:b/>
          <w:sz w:val="32"/>
          <w:szCs w:val="32"/>
          <w:lang w:eastAsia="zh-CN"/>
        </w:rPr>
        <w:t>罗定市罗城街道罗城社区卫生服务中心</w:t>
      </w:r>
      <w:r>
        <w:rPr>
          <w:rFonts w:hint="eastAsia" w:ascii="宋体" w:hAnsi="宋体"/>
          <w:b/>
          <w:sz w:val="32"/>
          <w:szCs w:val="32"/>
          <w:lang w:val="en-US" w:eastAsia="zh-CN"/>
        </w:rPr>
        <w:t>2016</w:t>
      </w:r>
      <w:r>
        <w:rPr>
          <w:rFonts w:hint="eastAsia" w:ascii="宋体" w:hAnsi="宋体" w:eastAsia="宋体"/>
          <w:b/>
          <w:sz w:val="32"/>
          <w:szCs w:val="32"/>
        </w:rPr>
        <w:t>年部门决算情况说明</w:t>
      </w:r>
    </w:p>
    <w:p>
      <w:pPr>
        <w:spacing w:line="288" w:lineRule="auto"/>
        <w:ind w:firstLine="0" w:firstLineChars="0"/>
        <w:jc w:val="center"/>
        <w:rPr>
          <w:rFonts w:hint="eastAsia" w:ascii="宋体" w:hAnsi="宋体" w:eastAsia="宋体"/>
          <w:b/>
          <w:sz w:val="36"/>
          <w:szCs w:val="36"/>
        </w:rPr>
      </w:pPr>
      <w:r>
        <w:rPr>
          <w:rFonts w:hint="eastAsia" w:ascii="宋体" w:hAnsi="宋体" w:eastAsia="宋体"/>
          <w:b/>
          <w:sz w:val="36"/>
          <w:szCs w:val="36"/>
        </w:rPr>
        <w:t>第四部分</w:t>
      </w:r>
    </w:p>
    <w:p>
      <w:pPr>
        <w:spacing w:line="288" w:lineRule="auto"/>
        <w:ind w:firstLine="0" w:firstLineChars="0"/>
        <w:rPr>
          <w:rFonts w:ascii="宋体" w:hAnsi="宋体" w:eastAsia="宋体"/>
          <w:b/>
          <w:sz w:val="36"/>
          <w:szCs w:val="36"/>
        </w:rPr>
      </w:pPr>
      <w:r>
        <w:rPr>
          <w:rFonts w:hint="eastAsia" w:ascii="宋体" w:hAnsi="宋体" w:eastAsia="宋体"/>
          <w:b/>
          <w:sz w:val="32"/>
          <w:szCs w:val="32"/>
        </w:rPr>
        <w:t>名词解释</w:t>
      </w:r>
    </w:p>
    <w:p/>
    <w:p/>
    <w:p>
      <w:pPr>
        <w:numPr>
          <w:ilvl w:val="0"/>
          <w:numId w:val="2"/>
        </w:numPr>
        <w:spacing w:line="288" w:lineRule="auto"/>
        <w:ind w:firstLine="0" w:firstLineChars="0"/>
        <w:jc w:val="center"/>
        <w:outlineLvl w:val="0"/>
        <w:rPr>
          <w:rFonts w:hint="eastAsia" w:ascii="宋体" w:hAnsi="宋体" w:eastAsia="宋体"/>
          <w:b/>
          <w:sz w:val="36"/>
          <w:szCs w:val="36"/>
        </w:rPr>
      </w:pPr>
    </w:p>
    <w:p>
      <w:pPr>
        <w:numPr>
          <w:ilvl w:val="0"/>
          <w:numId w:val="0"/>
        </w:numPr>
        <w:spacing w:line="288" w:lineRule="auto"/>
        <w:jc w:val="center"/>
        <w:outlineLvl w:val="0"/>
        <w:rPr>
          <w:rFonts w:ascii="宋体" w:hAnsi="宋体" w:eastAsia="宋体"/>
          <w:b/>
          <w:sz w:val="36"/>
          <w:szCs w:val="36"/>
        </w:rPr>
      </w:pPr>
      <w:r>
        <w:rPr>
          <w:rFonts w:hint="eastAsia" w:ascii="宋体" w:hAnsi="宋体"/>
          <w:b/>
          <w:sz w:val="36"/>
          <w:szCs w:val="36"/>
          <w:lang w:eastAsia="zh-CN"/>
        </w:rPr>
        <w:t>罗定市罗城街道罗城社区卫生服务中心</w:t>
      </w:r>
      <w:r>
        <w:rPr>
          <w:rFonts w:hint="eastAsia" w:ascii="宋体" w:hAnsi="宋体" w:eastAsia="宋体"/>
          <w:b/>
          <w:sz w:val="36"/>
          <w:szCs w:val="36"/>
        </w:rPr>
        <w:t>概况</w:t>
      </w:r>
    </w:p>
    <w:p>
      <w:pPr>
        <w:ind w:firstLine="281" w:firstLineChars="100"/>
        <w:rPr>
          <w:rFonts w:hint="eastAsia" w:eastAsia="宋体"/>
          <w:b/>
          <w:bCs/>
          <w:sz w:val="28"/>
          <w:szCs w:val="28"/>
          <w:lang w:val="en-US" w:eastAsia="zh-CN"/>
        </w:rPr>
      </w:pPr>
      <w:r>
        <w:rPr>
          <w:rFonts w:hint="eastAsia"/>
          <w:b/>
          <w:bCs/>
          <w:sz w:val="28"/>
          <w:szCs w:val="28"/>
          <w:lang w:val="en-US" w:eastAsia="zh-CN"/>
        </w:rPr>
        <w:t>1、单位主要职能</w:t>
      </w:r>
    </w:p>
    <w:p>
      <w:pPr>
        <w:ind w:firstLine="560" w:firstLineChars="200"/>
        <w:rPr>
          <w:rFonts w:hint="eastAsia"/>
          <w:sz w:val="28"/>
          <w:szCs w:val="28"/>
        </w:rPr>
      </w:pPr>
      <w:r>
        <w:rPr>
          <w:rFonts w:hint="eastAsia"/>
          <w:sz w:val="28"/>
          <w:szCs w:val="28"/>
        </w:rPr>
        <w:t>罗定市罗城街道罗城社区卫生服务中心主要职能：开展预防保健科、全科医疗科、妇女保健科、儿童保健科、中医康复医学科、检验科，影像科和开展健康教育等工作，为</w:t>
      </w:r>
      <w:r>
        <w:rPr>
          <w:rFonts w:hint="eastAsia"/>
          <w:sz w:val="28"/>
          <w:szCs w:val="28"/>
          <w:lang w:eastAsia="zh-CN"/>
        </w:rPr>
        <w:t>罗城街道</w:t>
      </w:r>
      <w:r>
        <w:rPr>
          <w:rFonts w:hint="eastAsia"/>
          <w:sz w:val="28"/>
          <w:szCs w:val="28"/>
        </w:rPr>
        <w:t>社区居民提供基本公共卫生服务</w:t>
      </w:r>
      <w:r>
        <w:rPr>
          <w:rFonts w:hint="eastAsia"/>
          <w:sz w:val="28"/>
          <w:szCs w:val="28"/>
          <w:lang w:eastAsia="zh-CN"/>
        </w:rPr>
        <w:t>项目和基层医疗卫生服务项目</w:t>
      </w:r>
      <w:r>
        <w:rPr>
          <w:rFonts w:hint="eastAsia"/>
          <w:sz w:val="28"/>
          <w:szCs w:val="28"/>
        </w:rPr>
        <w:t>。</w:t>
      </w:r>
    </w:p>
    <w:p>
      <w:pPr>
        <w:numPr>
          <w:ilvl w:val="0"/>
          <w:numId w:val="0"/>
        </w:numPr>
        <w:ind w:left="420" w:leftChars="0"/>
        <w:rPr>
          <w:rFonts w:hint="eastAsia"/>
          <w:b/>
          <w:bCs/>
          <w:sz w:val="28"/>
          <w:szCs w:val="28"/>
        </w:rPr>
      </w:pPr>
      <w:r>
        <w:rPr>
          <w:rFonts w:hint="eastAsia"/>
          <w:b/>
          <w:bCs/>
          <w:sz w:val="28"/>
          <w:szCs w:val="28"/>
          <w:lang w:val="en-US" w:eastAsia="zh-CN"/>
        </w:rPr>
        <w:t>2、</w:t>
      </w:r>
      <w:r>
        <w:rPr>
          <w:rFonts w:hint="eastAsia"/>
          <w:b/>
          <w:bCs/>
          <w:sz w:val="28"/>
          <w:szCs w:val="28"/>
        </w:rPr>
        <w:t>单位机构情况</w:t>
      </w:r>
    </w:p>
    <w:p>
      <w:pPr>
        <w:ind w:left="420" w:leftChars="200" w:firstLine="140" w:firstLineChars="50"/>
        <w:rPr>
          <w:rFonts w:hint="eastAsia" w:ascii="宋体" w:hAnsi="宋体"/>
          <w:sz w:val="28"/>
          <w:szCs w:val="28"/>
        </w:rPr>
      </w:pPr>
      <w:r>
        <w:rPr>
          <w:rFonts w:hint="eastAsia" w:ascii="宋体" w:hAnsi="宋体"/>
          <w:color w:val="000000"/>
          <w:sz w:val="28"/>
          <w:szCs w:val="28"/>
          <w:shd w:val="clear" w:color="auto" w:fill="FFFFFF"/>
        </w:rPr>
        <w:t>罗定市罗城街道罗城社区卫生服务中心有5个内设机构：</w:t>
      </w:r>
    </w:p>
    <w:p>
      <w:pPr>
        <w:widowControl/>
        <w:shd w:val="clear" w:color="auto" w:fill="FFFFFF"/>
        <w:spacing w:line="420" w:lineRule="atLeast"/>
        <w:ind w:firstLine="560"/>
        <w:rPr>
          <w:rFonts w:ascii="宋体" w:hAnsi="宋体"/>
          <w:color w:val="000000"/>
          <w:kern w:val="0"/>
          <w:sz w:val="28"/>
          <w:szCs w:val="28"/>
        </w:rPr>
      </w:pPr>
      <w:r>
        <w:rPr>
          <w:rFonts w:hint="eastAsia" w:ascii="宋体" w:hAnsi="宋体"/>
          <w:color w:val="000000"/>
          <w:kern w:val="0"/>
          <w:sz w:val="28"/>
          <w:szCs w:val="28"/>
        </w:rPr>
        <w:t>（1）、公共卫生科。负责本街道卫生监督、免疫规划、妇幼保健、爱国卫生、地方病防治等基本公共卫生服务项目工作的规划、实施、总结等工作，负责有关表册卡单等信息数据资料的收集、汇总、分析、上报。疫情和公共卫生事件的监测调查、疫情上报等地方病防治工作。</w:t>
      </w:r>
    </w:p>
    <w:p>
      <w:pPr>
        <w:widowControl/>
        <w:shd w:val="clear" w:color="auto" w:fill="FFFFFF"/>
        <w:spacing w:line="420" w:lineRule="atLeast"/>
        <w:ind w:firstLine="560"/>
        <w:rPr>
          <w:rFonts w:ascii="宋体" w:hAnsi="宋体"/>
          <w:color w:val="000000"/>
          <w:kern w:val="0"/>
          <w:sz w:val="28"/>
          <w:szCs w:val="28"/>
        </w:rPr>
      </w:pPr>
      <w:r>
        <w:rPr>
          <w:rFonts w:hint="eastAsia" w:ascii="宋体" w:hAnsi="宋体"/>
          <w:color w:val="000000"/>
          <w:kern w:val="0"/>
          <w:sz w:val="28"/>
          <w:szCs w:val="28"/>
        </w:rPr>
        <w:t>（2）、医疗组。严格遵守本院的各项规章制度，树立良好的医德医风，为病人文明服务、检查正确、诊断正确、治疗得当，熟悉并掌握业务技术操作技能。经常与各科室进行沟通、协调和配合。</w:t>
      </w:r>
    </w:p>
    <w:p>
      <w:pPr>
        <w:widowControl/>
        <w:shd w:val="clear" w:color="auto" w:fill="FFFFFF"/>
        <w:spacing w:line="420" w:lineRule="atLeast"/>
        <w:ind w:firstLine="560"/>
        <w:rPr>
          <w:rFonts w:ascii="宋体" w:hAnsi="宋体"/>
          <w:color w:val="000000"/>
          <w:kern w:val="0"/>
          <w:sz w:val="28"/>
          <w:szCs w:val="28"/>
        </w:rPr>
      </w:pPr>
      <w:r>
        <w:rPr>
          <w:rFonts w:hint="eastAsia" w:ascii="宋体" w:hAnsi="宋体"/>
          <w:color w:val="000000"/>
          <w:kern w:val="0"/>
          <w:sz w:val="28"/>
          <w:szCs w:val="28"/>
        </w:rPr>
        <w:t>（3）、护理组。以病人为中心、以质量为核心，执行医院的规章制度、定期培训护理技术操作常规，经常与医疗组进行沟通、协调和配合。</w:t>
      </w:r>
    </w:p>
    <w:p>
      <w:pPr>
        <w:widowControl/>
        <w:shd w:val="clear" w:color="auto" w:fill="FFFFFF"/>
        <w:spacing w:line="420" w:lineRule="atLeast"/>
        <w:ind w:firstLine="560"/>
        <w:rPr>
          <w:rFonts w:ascii="宋体" w:hAnsi="宋体"/>
          <w:color w:val="000000"/>
          <w:kern w:val="0"/>
          <w:sz w:val="28"/>
          <w:szCs w:val="28"/>
        </w:rPr>
      </w:pPr>
      <w:r>
        <w:rPr>
          <w:rFonts w:hint="eastAsia" w:ascii="宋体" w:hAnsi="宋体"/>
          <w:color w:val="000000"/>
          <w:kern w:val="0"/>
          <w:sz w:val="28"/>
          <w:szCs w:val="28"/>
        </w:rPr>
        <w:t>（4）、办公室。拟定社区的工作计划、总结各种文件，安排各种行政会议，做好会议记录。</w:t>
      </w:r>
    </w:p>
    <w:p>
      <w:pPr>
        <w:widowControl/>
        <w:shd w:val="clear" w:color="auto" w:fill="FFFFFF"/>
        <w:spacing w:line="420" w:lineRule="atLeast"/>
        <w:ind w:firstLine="560"/>
        <w:rPr>
          <w:rFonts w:hint="eastAsia" w:ascii="宋体" w:hAnsi="宋体"/>
          <w:color w:val="000000"/>
          <w:kern w:val="0"/>
          <w:sz w:val="28"/>
          <w:szCs w:val="28"/>
        </w:rPr>
      </w:pPr>
      <w:r>
        <w:rPr>
          <w:rFonts w:hint="eastAsia" w:ascii="宋体" w:hAnsi="宋体"/>
          <w:color w:val="000000"/>
          <w:kern w:val="0"/>
          <w:sz w:val="28"/>
          <w:szCs w:val="28"/>
        </w:rPr>
        <w:t>（5）、财务室。严格执行财务制度的规定做好社区项目的相关经济活动，做到合理、合法、真实。负责及时提供上级及有关单位需要的数字、报表。完成领导交办的其他工作。</w:t>
      </w:r>
    </w:p>
    <w:p>
      <w:pPr>
        <w:widowControl/>
        <w:shd w:val="clear" w:color="auto" w:fill="FFFFFF"/>
        <w:spacing w:line="420" w:lineRule="atLeast"/>
        <w:ind w:firstLine="560"/>
        <w:rPr>
          <w:rFonts w:hint="eastAsia" w:ascii="新宋体" w:hAnsi="新宋体" w:eastAsia="新宋体"/>
          <w:b/>
          <w:bCs/>
          <w:color w:val="000000"/>
          <w:kern w:val="0"/>
          <w:sz w:val="28"/>
          <w:szCs w:val="28"/>
        </w:rPr>
      </w:pPr>
      <w:r>
        <w:rPr>
          <w:rFonts w:hint="eastAsia" w:ascii="新宋体" w:hAnsi="新宋体" w:eastAsia="新宋体"/>
          <w:b/>
          <w:bCs/>
          <w:color w:val="000000"/>
          <w:kern w:val="0"/>
          <w:sz w:val="28"/>
          <w:szCs w:val="28"/>
        </w:rPr>
        <w:t>3、人员情况</w:t>
      </w:r>
    </w:p>
    <w:p>
      <w:pPr>
        <w:spacing w:line="64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编制人数</w:t>
      </w:r>
      <w:r>
        <w:rPr>
          <w:rFonts w:hint="eastAsia" w:ascii="宋体" w:hAnsi="宋体" w:cs="宋体"/>
          <w:bCs/>
          <w:sz w:val="28"/>
          <w:szCs w:val="28"/>
          <w:lang w:val="en-US" w:eastAsia="zh-CN"/>
        </w:rPr>
        <w:t>38</w:t>
      </w:r>
      <w:r>
        <w:rPr>
          <w:rFonts w:hint="eastAsia" w:ascii="宋体" w:hAnsi="宋体" w:eastAsia="宋体" w:cs="宋体"/>
          <w:bCs/>
          <w:sz w:val="28"/>
          <w:szCs w:val="28"/>
        </w:rPr>
        <w:t>人，其中：行政编制0人，工勤编制0人。</w:t>
      </w:r>
    </w:p>
    <w:p>
      <w:pPr>
        <w:spacing w:line="64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实有人数</w:t>
      </w:r>
      <w:r>
        <w:rPr>
          <w:rFonts w:hint="eastAsia" w:ascii="宋体" w:hAnsi="宋体" w:cs="宋体"/>
          <w:bCs/>
          <w:sz w:val="28"/>
          <w:szCs w:val="28"/>
          <w:lang w:val="en-US" w:eastAsia="zh-CN"/>
        </w:rPr>
        <w:t>38</w:t>
      </w:r>
      <w:r>
        <w:rPr>
          <w:rFonts w:hint="eastAsia" w:ascii="宋体" w:hAnsi="宋体" w:eastAsia="宋体" w:cs="宋体"/>
          <w:bCs/>
          <w:sz w:val="28"/>
          <w:szCs w:val="28"/>
        </w:rPr>
        <w:t>人，其中：在职26人（其中：行政编制0人，工勤编制0人），离退休0人。</w:t>
      </w:r>
    </w:p>
    <w:p>
      <w:pPr>
        <w:spacing w:line="64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纳入统发工资人数</w:t>
      </w:r>
      <w:r>
        <w:rPr>
          <w:rFonts w:hint="eastAsia" w:ascii="宋体" w:hAnsi="宋体" w:cs="宋体"/>
          <w:bCs/>
          <w:sz w:val="28"/>
          <w:szCs w:val="28"/>
          <w:lang w:val="en-US" w:eastAsia="zh-CN"/>
        </w:rPr>
        <w:t>38</w:t>
      </w:r>
      <w:r>
        <w:rPr>
          <w:rFonts w:hint="eastAsia" w:ascii="宋体" w:hAnsi="宋体" w:eastAsia="宋体" w:cs="宋体"/>
          <w:bCs/>
          <w:sz w:val="28"/>
          <w:szCs w:val="28"/>
        </w:rPr>
        <w:t>人，其中：在职</w:t>
      </w:r>
      <w:r>
        <w:rPr>
          <w:rFonts w:hint="eastAsia" w:ascii="宋体" w:hAnsi="宋体" w:cs="宋体"/>
          <w:bCs/>
          <w:sz w:val="28"/>
          <w:szCs w:val="28"/>
          <w:lang w:val="en-US" w:eastAsia="zh-CN"/>
        </w:rPr>
        <w:t>38</w:t>
      </w:r>
      <w:r>
        <w:rPr>
          <w:rFonts w:hint="eastAsia" w:ascii="宋体" w:hAnsi="宋体" w:eastAsia="宋体" w:cs="宋体"/>
          <w:bCs/>
          <w:sz w:val="28"/>
          <w:szCs w:val="28"/>
        </w:rPr>
        <w:t>人，离退休0人。</w:t>
      </w:r>
    </w:p>
    <w:p>
      <w:pPr>
        <w:spacing w:line="64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非统发工资其他人员人数0人。</w:t>
      </w:r>
    </w:p>
    <w:p>
      <w:pPr>
        <w:spacing w:line="288" w:lineRule="auto"/>
        <w:ind w:firstLine="640" w:firstLineChars="200"/>
        <w:rPr>
          <w:rFonts w:ascii="仿宋_GB2312" w:eastAsia="仿宋_GB2312"/>
          <w:sz w:val="32"/>
          <w:szCs w:val="32"/>
        </w:rPr>
      </w:pPr>
    </w:p>
    <w:p>
      <w:pPr>
        <w:spacing w:line="288" w:lineRule="auto"/>
        <w:ind w:firstLine="723" w:firstLineChars="200"/>
        <w:outlineLvl w:val="0"/>
        <w:rPr>
          <w:rFonts w:ascii="宋体" w:hAnsi="宋体" w:eastAsia="宋体"/>
          <w:b/>
          <w:sz w:val="36"/>
          <w:szCs w:val="36"/>
        </w:rPr>
      </w:pPr>
      <w:r>
        <w:rPr>
          <w:rFonts w:hint="eastAsia" w:ascii="宋体" w:hAnsi="宋体" w:eastAsia="宋体"/>
          <w:b/>
          <w:sz w:val="36"/>
          <w:szCs w:val="36"/>
        </w:rPr>
        <w:t xml:space="preserve">第二部分  </w:t>
      </w:r>
      <w:r>
        <w:rPr>
          <w:rFonts w:hint="eastAsia" w:ascii="宋体" w:hAnsi="宋体"/>
          <w:b/>
          <w:sz w:val="36"/>
          <w:szCs w:val="36"/>
          <w:lang w:eastAsia="zh-CN"/>
        </w:rPr>
        <w:t>罗城街道罗城社区卫生服务中心</w:t>
      </w:r>
      <w:r>
        <w:rPr>
          <w:rFonts w:hint="eastAsia" w:ascii="宋体" w:hAnsi="宋体"/>
          <w:b/>
          <w:sz w:val="36"/>
          <w:szCs w:val="36"/>
          <w:lang w:val="en-US" w:eastAsia="zh-CN"/>
        </w:rPr>
        <w:t>2016</w:t>
      </w:r>
      <w:r>
        <w:rPr>
          <w:rFonts w:hint="eastAsia" w:ascii="宋体" w:hAnsi="宋体" w:eastAsia="宋体"/>
          <w:b/>
          <w:sz w:val="36"/>
          <w:szCs w:val="36"/>
        </w:rPr>
        <w:t>年部门决算表</w:t>
      </w:r>
    </w:p>
    <w:tbl>
      <w:tblPr>
        <w:tblStyle w:val="6"/>
        <w:tblW w:w="9088" w:type="dxa"/>
        <w:tblInd w:w="93" w:type="dxa"/>
        <w:tblLayout w:type="fixed"/>
        <w:tblCellMar>
          <w:top w:w="0" w:type="dxa"/>
          <w:left w:w="108" w:type="dxa"/>
          <w:bottom w:w="0" w:type="dxa"/>
          <w:right w:w="108" w:type="dxa"/>
        </w:tblCellMar>
      </w:tblPr>
      <w:tblGrid>
        <w:gridCol w:w="2567"/>
        <w:gridCol w:w="769"/>
        <w:gridCol w:w="1074"/>
        <w:gridCol w:w="2693"/>
        <w:gridCol w:w="769"/>
        <w:gridCol w:w="1216"/>
      </w:tblGrid>
      <w:tr>
        <w:tblPrEx>
          <w:tblLayout w:type="fixed"/>
          <w:tblCellMar>
            <w:top w:w="0" w:type="dxa"/>
            <w:left w:w="108" w:type="dxa"/>
            <w:bottom w:w="0" w:type="dxa"/>
            <w:right w:w="108" w:type="dxa"/>
          </w:tblCellMar>
        </w:tblPrEx>
        <w:trPr>
          <w:trHeight w:val="360" w:hRule="atLeast"/>
        </w:trPr>
        <w:tc>
          <w:tcPr>
            <w:tcW w:w="9088" w:type="dxa"/>
            <w:gridSpan w:val="6"/>
            <w:vAlign w:val="center"/>
          </w:tcPr>
          <w:p>
            <w:pPr>
              <w:spacing w:line="580" w:lineRule="exact"/>
              <w:ind w:firstLine="640" w:firstLineChars="200"/>
              <w:rPr>
                <w:rFonts w:ascii="华文中宋" w:hAnsi="华文中宋" w:eastAsia="华文中宋" w:cs="宋体"/>
                <w:color w:val="000000"/>
                <w:kern w:val="0"/>
                <w:sz w:val="32"/>
                <w:szCs w:val="32"/>
              </w:rPr>
            </w:pPr>
            <w:r>
              <w:rPr>
                <w:rFonts w:hint="eastAsia" w:ascii="仿宋_GB2312" w:eastAsia="仿宋_GB2312"/>
                <w:sz w:val="32"/>
                <w:szCs w:val="32"/>
                <w:lang w:eastAsia="zh-CN"/>
              </w:rPr>
              <w:t>本</w:t>
            </w:r>
            <w:r>
              <w:rPr>
                <w:rFonts w:hint="eastAsia" w:ascii="仿宋_GB2312" w:eastAsia="仿宋_GB2312"/>
                <w:sz w:val="32"/>
                <w:szCs w:val="32"/>
              </w:rPr>
              <w:t>部门应当公开8张部门决算表格，包括：1.收支总表（3张），即：《收入支出决算总表》、《收入决算表》、《支出决算表》；2.财政拨款收支表（5张），即：《财政拨款收入支出决算总表》、《一般公共预算财政拨款支出决算表》、《一般公共预算财政拨款基本支出决算表》、《财政拨款“三公”经费支出决算表》和《政府性基金预算财政拨款收入支出决算表》。除涉密信息外，《收入决算表》、《支出决算表》、《一般公共预算财政拨款支出决算表》和《政府性基金预算财政拨款收入支出决算表》应当细化公开到支出功能分类项级科目，《一般公共预算财政拨款基本支出决算表》应当细化公开到经济分类款级科目。</w:t>
            </w:r>
            <w:r>
              <w:rPr>
                <w:rFonts w:hint="eastAsia" w:ascii="仿宋_GB2312" w:eastAsia="仿宋_GB2312"/>
                <w:sz w:val="32"/>
                <w:szCs w:val="32"/>
                <w:lang w:eastAsia="zh-CN"/>
              </w:rPr>
              <w:t>现公开表格如下：</w:t>
            </w:r>
          </w:p>
        </w:tc>
      </w:tr>
      <w:tr>
        <w:tblPrEx>
          <w:tblLayout w:type="fixed"/>
          <w:tblCellMar>
            <w:top w:w="0" w:type="dxa"/>
            <w:left w:w="108" w:type="dxa"/>
            <w:bottom w:w="0" w:type="dxa"/>
            <w:right w:w="108" w:type="dxa"/>
          </w:tblCellMar>
        </w:tblPrEx>
        <w:trPr>
          <w:trHeight w:val="360" w:hRule="atLeast"/>
        </w:trPr>
        <w:tc>
          <w:tcPr>
            <w:tcW w:w="9088" w:type="dxa"/>
            <w:gridSpan w:val="6"/>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Layout w:type="fixed"/>
          <w:tblCellMar>
            <w:top w:w="0" w:type="dxa"/>
            <w:left w:w="108" w:type="dxa"/>
            <w:bottom w:w="0" w:type="dxa"/>
            <w:right w:w="108" w:type="dxa"/>
          </w:tblCellMar>
        </w:tblPrEx>
        <w:trPr>
          <w:trHeight w:val="328" w:hRule="atLeast"/>
        </w:trPr>
        <w:tc>
          <w:tcPr>
            <w:tcW w:w="2567"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74"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2693"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216"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公开01表</w:t>
            </w:r>
          </w:p>
        </w:tc>
      </w:tr>
      <w:tr>
        <w:tblPrEx>
          <w:tblLayout w:type="fixed"/>
          <w:tblCellMar>
            <w:top w:w="0" w:type="dxa"/>
            <w:left w:w="108" w:type="dxa"/>
            <w:bottom w:w="0" w:type="dxa"/>
            <w:right w:w="108" w:type="dxa"/>
          </w:tblCellMar>
        </w:tblPrEx>
        <w:trPr>
          <w:trHeight w:val="300" w:hRule="atLeast"/>
        </w:trPr>
        <w:tc>
          <w:tcPr>
            <w:tcW w:w="2567" w:type="dxa"/>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074"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2693"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76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216"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39" w:hRule="atLeast"/>
        </w:trPr>
        <w:tc>
          <w:tcPr>
            <w:tcW w:w="4410" w:type="dxa"/>
            <w:gridSpan w:val="3"/>
            <w:tcBorders>
              <w:top w:val="single" w:color="auto" w:sz="8" w:space="0"/>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收入</w:t>
            </w:r>
          </w:p>
        </w:tc>
        <w:tc>
          <w:tcPr>
            <w:tcW w:w="4678" w:type="dxa"/>
            <w:gridSpan w:val="3"/>
            <w:tcBorders>
              <w:top w:val="single" w:color="auto" w:sz="8" w:space="0"/>
              <w:left w:val="nil"/>
              <w:bottom w:val="single" w:color="auto" w:sz="4" w:space="0"/>
              <w:right w:val="single" w:color="000000"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107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决算数</w:t>
            </w:r>
          </w:p>
        </w:tc>
        <w:tc>
          <w:tcPr>
            <w:tcW w:w="2693" w:type="dxa"/>
            <w:tcBorders>
              <w:top w:val="nil"/>
              <w:left w:val="nil"/>
              <w:bottom w:val="single" w:color="auto" w:sz="4" w:space="0"/>
              <w:right w:val="single" w:color="auto" w:sz="4" w:space="0"/>
            </w:tcBorders>
            <w:shd w:val="clear" w:color="auto" w:fill="FFFFFF"/>
            <w:vAlign w:val="center"/>
          </w:tcPr>
          <w:p>
            <w:pPr>
              <w:widowControl/>
              <w:ind w:right="315" w:rightChars="150"/>
              <w:jc w:val="center"/>
              <w:rPr>
                <w:rFonts w:ascii="宋体" w:hAnsi="宋体" w:cs="宋体"/>
                <w:kern w:val="0"/>
                <w:sz w:val="24"/>
              </w:rPr>
            </w:pPr>
            <w:r>
              <w:rPr>
                <w:rFonts w:hint="eastAsia" w:ascii="宋体" w:hAnsi="宋体" w:cs="宋体"/>
                <w:kern w:val="0"/>
                <w:sz w:val="24"/>
              </w:rPr>
              <w:t>项    目</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1216"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决算数</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1074"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269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1216"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一、财政拨款收入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07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szCs w:val="22"/>
                <w:lang w:val="en-US" w:eastAsia="zh-CN"/>
              </w:rPr>
            </w:pPr>
            <w:r>
              <w:rPr>
                <w:rFonts w:hint="eastAsia" w:ascii="宋体" w:hAnsi="宋体" w:cs="宋体"/>
                <w:kern w:val="0"/>
                <w:sz w:val="22"/>
                <w:szCs w:val="22"/>
                <w:lang w:val="en-US" w:eastAsia="zh-CN"/>
              </w:rPr>
              <w:t>576.09</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一、一般公共服务支出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0</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二、上级补助收入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074"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0"/>
                <w:sz w:val="22"/>
                <w:szCs w:val="22"/>
                <w:lang w:val="en-US" w:eastAsia="zh-CN"/>
              </w:rPr>
            </w:pPr>
            <w:r>
              <w:rPr>
                <w:rFonts w:hint="eastAsia" w:ascii="宋体" w:hAnsi="宋体" w:cs="宋体"/>
                <w:kern w:val="0"/>
                <w:sz w:val="22"/>
                <w:szCs w:val="22"/>
                <w:lang w:val="en-US" w:eastAsia="zh-CN"/>
              </w:rPr>
              <w:t>0</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二、外交支出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0</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三、事业收入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074"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191.48</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三、国防支出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16</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0</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四、经营收入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07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2"/>
                <w:szCs w:val="22"/>
              </w:rPr>
            </w:pP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四、公共安全支出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0</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五、附属单位上缴收入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074"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0"/>
                <w:sz w:val="22"/>
                <w:szCs w:val="22"/>
                <w:lang w:val="en-US" w:eastAsia="zh-CN"/>
              </w:rPr>
            </w:pPr>
            <w:r>
              <w:rPr>
                <w:rFonts w:hint="eastAsia" w:ascii="宋体" w:hAnsi="宋体" w:cs="宋体"/>
                <w:kern w:val="0"/>
                <w:sz w:val="22"/>
                <w:szCs w:val="22"/>
                <w:lang w:val="en-US" w:eastAsia="zh-CN"/>
              </w:rPr>
              <w:t>0</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五、教育支出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0</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六、其他收入</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074"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7.36</w:t>
            </w:r>
          </w:p>
        </w:tc>
        <w:tc>
          <w:tcPr>
            <w:tcW w:w="2693" w:type="dxa"/>
            <w:tcBorders>
              <w:top w:val="nil"/>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六、科学技术支出</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19</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lang w:val="en-US" w:eastAsia="zh-CN"/>
              </w:rPr>
              <w:t>0</w:t>
            </w: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4"/>
              </w:rPr>
              <w:t>……</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07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2"/>
                <w:szCs w:val="22"/>
              </w:rPr>
            </w:pPr>
            <w:r>
              <w:rPr>
                <w:rFonts w:hint="eastAsia" w:ascii="宋体" w:hAnsi="宋体" w:eastAsia="宋体" w:cs="宋体"/>
                <w:i w:val="0"/>
                <w:color w:val="000000"/>
                <w:kern w:val="0"/>
                <w:sz w:val="22"/>
                <w:szCs w:val="22"/>
                <w:u w:val="none"/>
                <w:lang w:val="en-US" w:eastAsia="zh-CN" w:bidi="ar"/>
              </w:rPr>
              <w:t xml:space="preserve"> </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1216" w:type="dxa"/>
            <w:tcBorders>
              <w:top w:val="nil"/>
              <w:left w:val="nil"/>
              <w:bottom w:val="single" w:color="auto" w:sz="4" w:space="0"/>
              <w:right w:val="single" w:color="auto" w:sz="8" w:space="0"/>
            </w:tcBorders>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074"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22"/>
                <w:szCs w:val="22"/>
              </w:rPr>
            </w:pPr>
          </w:p>
        </w:tc>
        <w:tc>
          <w:tcPr>
            <w:tcW w:w="2693"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lang w:eastAsia="zh-CN"/>
              </w:rPr>
              <w:t>九、医疗卫生与计划生育支出</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1216" w:type="dxa"/>
            <w:tcBorders>
              <w:top w:val="nil"/>
              <w:left w:val="nil"/>
              <w:bottom w:val="single" w:color="auto" w:sz="4" w:space="0"/>
              <w:right w:val="single" w:color="auto" w:sz="8" w:space="0"/>
            </w:tcBorders>
            <w:vAlign w:val="center"/>
          </w:tcPr>
          <w:p>
            <w:pPr>
              <w:keepNext w:val="0"/>
              <w:keepLines w:val="0"/>
              <w:widowControl/>
              <w:suppressLineNumbers w:val="0"/>
              <w:jc w:val="left"/>
              <w:textAlignment w:val="center"/>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576.09</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本年收入合计</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074" w:type="dxa"/>
            <w:tcBorders>
              <w:top w:val="nil"/>
              <w:left w:val="nil"/>
              <w:bottom w:val="single" w:color="auto" w:sz="4" w:space="0"/>
              <w:right w:val="single" w:color="auto" w:sz="4" w:space="0"/>
            </w:tcBorders>
            <w:shd w:val="clear" w:color="auto" w:fill="auto"/>
            <w:vAlign w:val="center"/>
          </w:tcPr>
          <w:p>
            <w:pPr>
              <w:jc w:val="left"/>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774.93</w:t>
            </w:r>
          </w:p>
        </w:tc>
        <w:tc>
          <w:tcPr>
            <w:tcW w:w="2693" w:type="dxa"/>
            <w:tcBorders>
              <w:top w:val="nil"/>
              <w:left w:val="nil"/>
              <w:bottom w:val="single" w:color="auto" w:sz="4" w:space="0"/>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本年支出合计</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1216" w:type="dxa"/>
            <w:tcBorders>
              <w:top w:val="nil"/>
              <w:left w:val="nil"/>
              <w:bottom w:val="single" w:color="auto" w:sz="4" w:space="0"/>
              <w:right w:val="single" w:color="auto" w:sz="8" w:space="0"/>
            </w:tcBorders>
            <w:vAlign w:val="center"/>
          </w:tcPr>
          <w:p>
            <w:pPr>
              <w:keepNext w:val="0"/>
              <w:keepLines w:val="0"/>
              <w:widowControl/>
              <w:suppressLineNumbers w:val="0"/>
              <w:jc w:val="left"/>
              <w:textAlignment w:val="center"/>
              <w:rPr>
                <w:rFonts w:ascii="宋体" w:hAnsi="宋体" w:cs="宋体"/>
                <w:b/>
                <w:bCs/>
                <w:kern w:val="0"/>
                <w:sz w:val="22"/>
                <w:szCs w:val="22"/>
              </w:rPr>
            </w:pPr>
            <w:r>
              <w:rPr>
                <w:rFonts w:hint="eastAsia" w:ascii="宋体" w:hAnsi="宋体" w:cs="宋体"/>
                <w:i w:val="0"/>
                <w:color w:val="000000"/>
                <w:kern w:val="0"/>
                <w:sz w:val="22"/>
                <w:szCs w:val="22"/>
                <w:u w:val="none"/>
                <w:lang w:val="en-US" w:eastAsia="zh-CN" w:bidi="ar"/>
              </w:rPr>
              <w:t>576.09</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用事业基金弥补收支差额</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107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2"/>
                <w:szCs w:val="22"/>
                <w:lang w:val="en-US" w:eastAsia="zh-CN"/>
              </w:rPr>
            </w:pPr>
            <w:r>
              <w:rPr>
                <w:rFonts w:hint="eastAsia" w:ascii="宋体" w:hAnsi="宋体" w:cs="宋体"/>
                <w:kern w:val="0"/>
                <w:sz w:val="22"/>
                <w:szCs w:val="22"/>
                <w:lang w:val="en-US" w:eastAsia="zh-CN"/>
              </w:rPr>
              <w:t>0</w:t>
            </w:r>
          </w:p>
        </w:tc>
        <w:tc>
          <w:tcPr>
            <w:tcW w:w="2693"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结余分配</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1216" w:type="dxa"/>
            <w:tcBorders>
              <w:top w:val="nil"/>
              <w:left w:val="nil"/>
              <w:bottom w:val="single" w:color="auto" w:sz="4" w:space="0"/>
              <w:right w:val="single" w:color="auto" w:sz="8" w:space="0"/>
            </w:tcBorders>
            <w:vAlign w:val="center"/>
          </w:tcPr>
          <w:p>
            <w:pPr>
              <w:keepNext w:val="0"/>
              <w:keepLines w:val="0"/>
              <w:widowControl/>
              <w:suppressLineNumbers w:val="0"/>
              <w:jc w:val="left"/>
              <w:textAlignment w:val="center"/>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198.84</w:t>
            </w:r>
            <w:r>
              <w:rPr>
                <w:rFonts w:hint="eastAsia" w:ascii="宋体" w:hAnsi="宋体" w:eastAsia="宋体" w:cs="宋体"/>
                <w:i w:val="0"/>
                <w:color w:val="000000"/>
                <w:kern w:val="0"/>
                <w:sz w:val="22"/>
                <w:szCs w:val="22"/>
                <w:u w:val="none"/>
                <w:lang w:val="en-US" w:eastAsia="zh-CN" w:bidi="ar"/>
              </w:rPr>
              <w:t xml:space="preserve"> </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年初结转和结余</w:t>
            </w:r>
          </w:p>
        </w:tc>
        <w:tc>
          <w:tcPr>
            <w:tcW w:w="76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1074" w:type="dxa"/>
            <w:tcBorders>
              <w:top w:val="nil"/>
              <w:left w:val="nil"/>
              <w:bottom w:val="single" w:color="auto" w:sz="4" w:space="0"/>
              <w:right w:val="single" w:color="auto" w:sz="4" w:space="0"/>
            </w:tcBorders>
            <w:shd w:val="clear" w:color="auto" w:fill="auto"/>
            <w:vAlign w:val="center"/>
          </w:tcPr>
          <w:p>
            <w:pPr>
              <w:jc w:val="left"/>
              <w:rPr>
                <w:rFonts w:hint="eastAsia" w:ascii="宋体" w:hAnsi="宋体" w:eastAsia="宋体" w:cs="宋体"/>
                <w:kern w:val="0"/>
                <w:sz w:val="22"/>
                <w:szCs w:val="22"/>
                <w:lang w:val="en-US" w:eastAsia="zh-CN"/>
              </w:rPr>
            </w:pPr>
            <w:r>
              <w:rPr>
                <w:rFonts w:hint="eastAsia" w:ascii="宋体" w:hAnsi="宋体" w:cs="宋体"/>
                <w:kern w:val="0"/>
                <w:sz w:val="22"/>
                <w:szCs w:val="22"/>
                <w:lang w:val="en-US" w:eastAsia="zh-CN"/>
              </w:rPr>
              <w:t>0</w:t>
            </w:r>
          </w:p>
        </w:tc>
        <w:tc>
          <w:tcPr>
            <w:tcW w:w="2693"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xml:space="preserve">        年末结转和结余</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1216" w:type="dxa"/>
            <w:tcBorders>
              <w:top w:val="nil"/>
              <w:left w:val="nil"/>
              <w:bottom w:val="single" w:color="auto" w:sz="4" w:space="0"/>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0</w:t>
            </w:r>
          </w:p>
        </w:tc>
      </w:tr>
      <w:tr>
        <w:tblPrEx>
          <w:tblLayout w:type="fixed"/>
          <w:tblCellMar>
            <w:top w:w="0" w:type="dxa"/>
            <w:left w:w="108" w:type="dxa"/>
            <w:bottom w:w="0" w:type="dxa"/>
            <w:right w:w="108" w:type="dxa"/>
          </w:tblCellMar>
        </w:tblPrEx>
        <w:trPr>
          <w:trHeight w:val="439" w:hRule="atLeast"/>
        </w:trPr>
        <w:tc>
          <w:tcPr>
            <w:tcW w:w="2567" w:type="dxa"/>
            <w:tcBorders>
              <w:top w:val="nil"/>
              <w:left w:val="single" w:color="auto" w:sz="8" w:space="0"/>
              <w:bottom w:val="nil"/>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1074" w:type="dxa"/>
            <w:tcBorders>
              <w:top w:val="nil"/>
              <w:left w:val="nil"/>
              <w:bottom w:val="nil"/>
              <w:right w:val="single" w:color="auto" w:sz="4" w:space="0"/>
            </w:tcBorders>
            <w:shd w:val="clear" w:color="auto" w:fill="auto"/>
            <w:vAlign w:val="center"/>
          </w:tcPr>
          <w:p>
            <w:pPr>
              <w:jc w:val="left"/>
              <w:rPr>
                <w:rFonts w:ascii="宋体" w:hAnsi="宋体" w:cs="宋体"/>
                <w:kern w:val="0"/>
                <w:sz w:val="22"/>
                <w:szCs w:val="22"/>
              </w:rPr>
            </w:pPr>
          </w:p>
        </w:tc>
        <w:tc>
          <w:tcPr>
            <w:tcW w:w="2693" w:type="dxa"/>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1216" w:type="dxa"/>
            <w:tcBorders>
              <w:top w:val="nil"/>
              <w:left w:val="nil"/>
              <w:bottom w:val="nil"/>
              <w:right w:val="single" w:color="auto" w:sz="8"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39" w:hRule="atLeast"/>
        </w:trPr>
        <w:tc>
          <w:tcPr>
            <w:tcW w:w="2567" w:type="dxa"/>
            <w:tcBorders>
              <w:top w:val="single" w:color="auto" w:sz="4" w:space="0"/>
              <w:left w:val="single" w:color="auto" w:sz="8" w:space="0"/>
              <w:bottom w:val="single" w:color="auto" w:sz="8"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1074" w:type="dxa"/>
            <w:tcBorders>
              <w:top w:val="single" w:color="auto" w:sz="4" w:space="0"/>
              <w:left w:val="nil"/>
              <w:bottom w:val="single" w:color="auto" w:sz="8" w:space="0"/>
              <w:right w:val="single" w:color="auto" w:sz="4" w:space="0"/>
            </w:tcBorders>
            <w:shd w:val="clear" w:color="auto" w:fill="auto"/>
            <w:vAlign w:val="center"/>
          </w:tcPr>
          <w:p>
            <w:pPr>
              <w:jc w:val="left"/>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774.93</w:t>
            </w:r>
          </w:p>
        </w:tc>
        <w:tc>
          <w:tcPr>
            <w:tcW w:w="2693" w:type="dxa"/>
            <w:tcBorders>
              <w:top w:val="single" w:color="auto" w:sz="4" w:space="0"/>
              <w:left w:val="nil"/>
              <w:bottom w:val="single" w:color="auto" w:sz="8"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769" w:type="dxa"/>
            <w:tcBorders>
              <w:top w:val="nil"/>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c>
          <w:tcPr>
            <w:tcW w:w="1216" w:type="dxa"/>
            <w:tcBorders>
              <w:top w:val="single" w:color="auto" w:sz="4" w:space="0"/>
              <w:left w:val="nil"/>
              <w:bottom w:val="single" w:color="auto" w:sz="8" w:space="0"/>
              <w:right w:val="single" w:color="auto" w:sz="8" w:space="0"/>
            </w:tcBorders>
            <w:vAlign w:val="center"/>
          </w:tcPr>
          <w:p>
            <w:pPr>
              <w:keepNext w:val="0"/>
              <w:keepLines w:val="0"/>
              <w:widowControl/>
              <w:suppressLineNumbers w:val="0"/>
              <w:jc w:val="left"/>
              <w:textAlignment w:val="center"/>
              <w:rPr>
                <w:rFonts w:ascii="宋体" w:hAnsi="宋体" w:cs="宋体"/>
                <w:b/>
                <w:bCs/>
                <w:kern w:val="0"/>
                <w:sz w:val="22"/>
                <w:szCs w:val="22"/>
              </w:rPr>
            </w:pPr>
            <w:r>
              <w:rPr>
                <w:rFonts w:hint="eastAsia" w:ascii="宋体" w:hAnsi="宋体" w:cs="宋体"/>
                <w:i w:val="0"/>
                <w:color w:val="000000"/>
                <w:kern w:val="0"/>
                <w:sz w:val="22"/>
                <w:szCs w:val="22"/>
                <w:u w:val="none"/>
                <w:lang w:val="en-US" w:eastAsia="zh-CN" w:bidi="ar"/>
              </w:rPr>
              <w:t>774.93</w:t>
            </w:r>
          </w:p>
        </w:tc>
      </w:tr>
    </w:tbl>
    <w:p>
      <w:pPr>
        <w:spacing w:line="288" w:lineRule="auto"/>
        <w:rPr>
          <w:rFonts w:hint="eastAsia" w:ascii="宋体" w:hAnsi="宋体" w:eastAsia="宋体" w:cs="宋体"/>
          <w:sz w:val="28"/>
          <w:szCs w:val="28"/>
          <w:lang w:eastAsia="zh-CN"/>
        </w:rPr>
      </w:pPr>
      <w:r>
        <w:rPr>
          <w:rFonts w:hint="eastAsia" w:ascii="宋体" w:hAnsi="宋体" w:eastAsia="宋体" w:cs="宋体"/>
          <w:sz w:val="28"/>
          <w:szCs w:val="28"/>
        </w:rPr>
        <w:t>注：本表反映部门本年度的总收支和年末结转情况。有关填表说明</w:t>
      </w:r>
      <w:r>
        <w:rPr>
          <w:rFonts w:hint="eastAsia" w:ascii="宋体" w:hAnsi="宋体" w:eastAsia="宋体" w:cs="宋体"/>
          <w:sz w:val="28"/>
          <w:szCs w:val="28"/>
          <w:lang w:eastAsia="zh-CN"/>
        </w:rPr>
        <w:t>：</w:t>
      </w:r>
    </w:p>
    <w:p>
      <w:pPr>
        <w:spacing w:line="288" w:lineRule="auto"/>
        <w:rPr>
          <w:rFonts w:hint="eastAsia" w:ascii="宋体" w:hAnsi="宋体" w:eastAsia="宋体" w:cs="宋体"/>
          <w:sz w:val="28"/>
          <w:szCs w:val="28"/>
          <w:lang w:eastAsia="zh-CN"/>
        </w:rPr>
      </w:pPr>
    </w:p>
    <w:p>
      <w:pPr>
        <w:numPr>
          <w:ilvl w:val="0"/>
          <w:numId w:val="3"/>
        </w:numPr>
        <w:spacing w:line="288" w:lineRule="auto"/>
        <w:rPr>
          <w:rFonts w:hint="eastAsia" w:ascii="宋体" w:hAnsi="宋体" w:eastAsia="宋体" w:cs="宋体"/>
          <w:sz w:val="24"/>
          <w:szCs w:val="24"/>
        </w:rPr>
      </w:pPr>
      <w:r>
        <w:rPr>
          <w:rFonts w:hint="eastAsia" w:ascii="宋体" w:hAnsi="宋体" w:eastAsia="宋体" w:cs="宋体"/>
          <w:sz w:val="24"/>
          <w:szCs w:val="24"/>
        </w:rPr>
        <w:t>本表中数据填列当年决算数，以“万元”为金额单位，保留两位小数。</w:t>
      </w:r>
    </w:p>
    <w:p>
      <w:pPr>
        <w:numPr>
          <w:ilvl w:val="0"/>
          <w:numId w:val="0"/>
        </w:numPr>
        <w:spacing w:line="288" w:lineRule="auto"/>
        <w:rPr>
          <w:rFonts w:hint="eastAsia" w:ascii="宋体" w:hAnsi="宋体" w:eastAsia="宋体" w:cs="宋体"/>
          <w:sz w:val="24"/>
          <w:szCs w:val="24"/>
        </w:rPr>
      </w:pPr>
    </w:p>
    <w:p>
      <w:pPr>
        <w:numPr>
          <w:ilvl w:val="0"/>
          <w:numId w:val="3"/>
        </w:numPr>
        <w:spacing w:line="288"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本表支出项目填列到类级支出科目，没有发生数的类级支出科目不用填列。</w:t>
      </w:r>
    </w:p>
    <w:p>
      <w:pPr>
        <w:numPr>
          <w:ilvl w:val="0"/>
          <w:numId w:val="0"/>
        </w:numPr>
        <w:spacing w:line="288" w:lineRule="auto"/>
        <w:ind w:leftChars="0"/>
        <w:rPr>
          <w:rFonts w:hint="eastAsia" w:ascii="宋体" w:hAnsi="宋体" w:eastAsia="宋体" w:cs="宋体"/>
          <w:sz w:val="24"/>
          <w:szCs w:val="24"/>
        </w:rPr>
      </w:pPr>
    </w:p>
    <w:p>
      <w:pPr>
        <w:numPr>
          <w:ilvl w:val="0"/>
          <w:numId w:val="3"/>
        </w:numPr>
        <w:spacing w:line="288"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收入总计数应等于支出总计数。</w:t>
      </w:r>
    </w:p>
    <w:p>
      <w:pPr>
        <w:numPr>
          <w:ilvl w:val="0"/>
          <w:numId w:val="0"/>
        </w:numPr>
        <w:spacing w:line="288" w:lineRule="auto"/>
        <w:ind w:leftChars="0"/>
        <w:rPr>
          <w:rFonts w:hint="eastAsia" w:ascii="宋体" w:hAnsi="宋体" w:eastAsia="宋体" w:cs="宋体"/>
          <w:sz w:val="24"/>
          <w:szCs w:val="24"/>
        </w:rPr>
      </w:pPr>
    </w:p>
    <w:p>
      <w:pPr>
        <w:numPr>
          <w:ilvl w:val="0"/>
          <w:numId w:val="3"/>
        </w:numPr>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此表没有发生数据的，在合计和总计栏填“0”，并在该表下方附简要说明。</w:t>
      </w:r>
    </w:p>
    <w:p>
      <w:pPr>
        <w:numPr>
          <w:ilvl w:val="0"/>
          <w:numId w:val="0"/>
        </w:numPr>
        <w:spacing w:line="360" w:lineRule="auto"/>
        <w:ind w:leftChars="0"/>
        <w:rPr>
          <w:rFonts w:hint="eastAsia" w:ascii="宋体" w:hAnsi="宋体" w:eastAsia="宋体" w:cs="宋体"/>
          <w:sz w:val="24"/>
          <w:szCs w:val="24"/>
        </w:rPr>
      </w:pPr>
    </w:p>
    <w:p>
      <w:pPr>
        <w:numPr>
          <w:ilvl w:val="0"/>
          <w:numId w:val="3"/>
        </w:numPr>
        <w:ind w:left="0" w:leftChars="0" w:firstLine="0" w:firstLineChars="0"/>
        <w:rPr>
          <w:rFonts w:hint="eastAsia" w:ascii="宋体" w:hAnsi="宋体" w:eastAsia="宋体" w:cs="宋体"/>
          <w:sz w:val="24"/>
          <w:szCs w:val="24"/>
        </w:rPr>
      </w:pPr>
      <w:r>
        <w:rPr>
          <w:rFonts w:hint="eastAsia" w:ascii="宋体" w:hAnsi="宋体" w:eastAsia="宋体" w:cs="宋体"/>
          <w:sz w:val="24"/>
          <w:szCs w:val="24"/>
        </w:rPr>
        <w:t>该表数据来源于部门决算报表中的《收入支出决算总表》(财决01表)。</w:t>
      </w:r>
    </w:p>
    <w:p>
      <w:pPr>
        <w:numPr>
          <w:ilvl w:val="0"/>
          <w:numId w:val="0"/>
        </w:numPr>
        <w:ind w:leftChars="0"/>
        <w:rPr>
          <w:rFonts w:hint="eastAsia" w:ascii="宋体" w:hAnsi="宋体" w:eastAsia="宋体" w:cs="宋体"/>
          <w:sz w:val="24"/>
          <w:szCs w:val="24"/>
        </w:rPr>
      </w:pPr>
    </w:p>
    <w:tbl>
      <w:tblPr>
        <w:tblStyle w:val="6"/>
        <w:tblW w:w="9533" w:type="dxa"/>
        <w:tblInd w:w="-230" w:type="dxa"/>
        <w:tblLayout w:type="fixed"/>
        <w:tblCellMar>
          <w:top w:w="0" w:type="dxa"/>
          <w:left w:w="108" w:type="dxa"/>
          <w:bottom w:w="0" w:type="dxa"/>
          <w:right w:w="108" w:type="dxa"/>
        </w:tblCellMar>
      </w:tblPr>
      <w:tblGrid>
        <w:gridCol w:w="782"/>
        <w:gridCol w:w="451"/>
        <w:gridCol w:w="1741"/>
        <w:gridCol w:w="956"/>
        <w:gridCol w:w="945"/>
        <w:gridCol w:w="939"/>
        <w:gridCol w:w="952"/>
        <w:gridCol w:w="641"/>
        <w:gridCol w:w="859"/>
        <w:gridCol w:w="1267"/>
      </w:tblGrid>
      <w:tr>
        <w:tblPrEx>
          <w:tblLayout w:type="fixed"/>
          <w:tblCellMar>
            <w:top w:w="0" w:type="dxa"/>
            <w:left w:w="108" w:type="dxa"/>
            <w:bottom w:w="0" w:type="dxa"/>
            <w:right w:w="108" w:type="dxa"/>
          </w:tblCellMar>
        </w:tblPrEx>
        <w:trPr>
          <w:trHeight w:val="435" w:hRule="atLeast"/>
        </w:trPr>
        <w:tc>
          <w:tcPr>
            <w:tcW w:w="9533" w:type="dxa"/>
            <w:gridSpan w:val="10"/>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收入决算表</w:t>
            </w:r>
          </w:p>
        </w:tc>
      </w:tr>
      <w:tr>
        <w:tblPrEx>
          <w:tblLayout w:type="fixed"/>
          <w:tblCellMar>
            <w:top w:w="0" w:type="dxa"/>
            <w:left w:w="108" w:type="dxa"/>
            <w:bottom w:w="0" w:type="dxa"/>
            <w:right w:w="108" w:type="dxa"/>
          </w:tblCellMar>
        </w:tblPrEx>
        <w:trPr>
          <w:trHeight w:val="285" w:hRule="atLeast"/>
        </w:trPr>
        <w:tc>
          <w:tcPr>
            <w:tcW w:w="78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45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74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4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3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5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64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85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267"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公开02表</w:t>
            </w:r>
          </w:p>
        </w:tc>
      </w:tr>
      <w:tr>
        <w:tblPrEx>
          <w:tblLayout w:type="fixed"/>
          <w:tblCellMar>
            <w:top w:w="0" w:type="dxa"/>
            <w:left w:w="108" w:type="dxa"/>
            <w:bottom w:w="0" w:type="dxa"/>
            <w:right w:w="108" w:type="dxa"/>
          </w:tblCellMar>
        </w:tblPrEx>
        <w:trPr>
          <w:trHeight w:val="300" w:hRule="atLeast"/>
        </w:trPr>
        <w:tc>
          <w:tcPr>
            <w:tcW w:w="1233"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74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45"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939" w:type="dxa"/>
            <w:shd w:val="clear" w:color="auto" w:fill="FFFFFF"/>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952"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641"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859" w:type="dxa"/>
            <w:shd w:val="clear" w:color="auto" w:fill="FFFFFF"/>
            <w:vAlign w:val="center"/>
          </w:tcPr>
          <w:p>
            <w:pPr>
              <w:widowControl/>
              <w:jc w:val="right"/>
              <w:rPr>
                <w:rFonts w:ascii="宋体" w:hAnsi="宋体" w:cs="宋体"/>
                <w:kern w:val="0"/>
                <w:sz w:val="24"/>
              </w:rPr>
            </w:pPr>
            <w:r>
              <w:rPr>
                <w:rFonts w:hint="eastAsia" w:ascii="宋体" w:hAnsi="宋体" w:cs="宋体"/>
                <w:kern w:val="0"/>
                <w:sz w:val="24"/>
              </w:rPr>
              <w:t>　</w:t>
            </w:r>
          </w:p>
        </w:tc>
        <w:tc>
          <w:tcPr>
            <w:tcW w:w="1267"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50" w:hRule="atLeast"/>
        </w:trPr>
        <w:tc>
          <w:tcPr>
            <w:tcW w:w="2974" w:type="dxa"/>
            <w:gridSpan w:val="3"/>
            <w:tcBorders>
              <w:top w:val="single" w:color="auto" w:sz="8" w:space="0"/>
              <w:left w:val="single" w:color="auto" w:sz="8" w:space="0"/>
              <w:bottom w:val="single" w:color="auto"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956"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本年收入合计</w:t>
            </w:r>
          </w:p>
        </w:tc>
        <w:tc>
          <w:tcPr>
            <w:tcW w:w="945" w:type="dxa"/>
            <w:vMerge w:val="restart"/>
            <w:tcBorders>
              <w:top w:val="single" w:color="auto" w:sz="8"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财政拨款收入</w:t>
            </w:r>
          </w:p>
        </w:tc>
        <w:tc>
          <w:tcPr>
            <w:tcW w:w="939"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上级补助收入</w:t>
            </w:r>
          </w:p>
        </w:tc>
        <w:tc>
          <w:tcPr>
            <w:tcW w:w="95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事业收入</w:t>
            </w:r>
          </w:p>
        </w:tc>
        <w:tc>
          <w:tcPr>
            <w:tcW w:w="641"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经营收入</w:t>
            </w:r>
          </w:p>
        </w:tc>
        <w:tc>
          <w:tcPr>
            <w:tcW w:w="859"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附属单位上缴收入</w:t>
            </w:r>
          </w:p>
        </w:tc>
        <w:tc>
          <w:tcPr>
            <w:tcW w:w="1267" w:type="dxa"/>
            <w:vMerge w:val="restart"/>
            <w:tcBorders>
              <w:top w:val="single" w:color="auto" w:sz="8" w:space="0"/>
              <w:left w:val="single" w:color="auto" w:sz="4" w:space="0"/>
              <w:bottom w:val="single" w:color="000000"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其他收入</w:t>
            </w:r>
          </w:p>
        </w:tc>
      </w:tr>
      <w:tr>
        <w:tblPrEx>
          <w:tblLayout w:type="fixed"/>
          <w:tblCellMar>
            <w:top w:w="0" w:type="dxa"/>
            <w:left w:w="108" w:type="dxa"/>
            <w:bottom w:w="0" w:type="dxa"/>
            <w:right w:w="108" w:type="dxa"/>
          </w:tblCellMar>
        </w:tblPrEx>
        <w:trPr>
          <w:trHeight w:val="450" w:hRule="atLeast"/>
        </w:trPr>
        <w:tc>
          <w:tcPr>
            <w:tcW w:w="1233" w:type="dxa"/>
            <w:gridSpan w:val="2"/>
            <w:vMerge w:val="restart"/>
            <w:tcBorders>
              <w:top w:val="single" w:color="auto" w:sz="4" w:space="0"/>
              <w:left w:val="single" w:color="auto" w:sz="8" w:space="0"/>
              <w:bottom w:val="single" w:color="000000"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741" w:type="dxa"/>
            <w:vMerge w:val="restart"/>
            <w:tcBorders>
              <w:top w:val="nil"/>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4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3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641"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5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267"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PrEx>
        <w:trPr>
          <w:trHeight w:val="450" w:hRule="atLeast"/>
        </w:trPr>
        <w:tc>
          <w:tcPr>
            <w:tcW w:w="1233" w:type="dxa"/>
            <w:gridSpan w:val="2"/>
            <w:vMerge w:val="continue"/>
            <w:tcBorders>
              <w:top w:val="single" w:color="auto" w:sz="4" w:space="0"/>
              <w:left w:val="single" w:color="auto" w:sz="8" w:space="0"/>
              <w:bottom w:val="single" w:color="000000" w:sz="4" w:space="0"/>
              <w:right w:val="nil"/>
            </w:tcBorders>
            <w:vAlign w:val="center"/>
          </w:tcPr>
          <w:p>
            <w:pPr>
              <w:widowControl/>
              <w:jc w:val="left"/>
              <w:rPr>
                <w:rFonts w:ascii="宋体" w:hAnsi="宋体" w:cs="宋体"/>
                <w:kern w:val="0"/>
                <w:sz w:val="24"/>
              </w:rPr>
            </w:pPr>
          </w:p>
        </w:tc>
        <w:tc>
          <w:tcPr>
            <w:tcW w:w="174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4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3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641"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59"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267"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974" w:type="dxa"/>
            <w:gridSpan w:val="3"/>
            <w:tcBorders>
              <w:top w:val="single" w:color="auto" w:sz="4" w:space="0"/>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栏次</w:t>
            </w:r>
          </w:p>
        </w:tc>
        <w:tc>
          <w:tcPr>
            <w:tcW w:w="95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945"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93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95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c>
          <w:tcPr>
            <w:tcW w:w="641"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5</w:t>
            </w:r>
          </w:p>
        </w:tc>
        <w:tc>
          <w:tcPr>
            <w:tcW w:w="859"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6</w:t>
            </w:r>
          </w:p>
        </w:tc>
        <w:tc>
          <w:tcPr>
            <w:tcW w:w="1267"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7</w:t>
            </w:r>
          </w:p>
        </w:tc>
      </w:tr>
      <w:tr>
        <w:tblPrEx>
          <w:tblLayout w:type="fixed"/>
          <w:tblCellMar>
            <w:top w:w="0" w:type="dxa"/>
            <w:left w:w="108" w:type="dxa"/>
            <w:bottom w:w="0" w:type="dxa"/>
            <w:right w:w="108" w:type="dxa"/>
          </w:tblCellMar>
        </w:tblPrEx>
        <w:trPr>
          <w:trHeight w:val="450" w:hRule="atLeast"/>
        </w:trPr>
        <w:tc>
          <w:tcPr>
            <w:tcW w:w="2974" w:type="dxa"/>
            <w:gridSpan w:val="3"/>
            <w:tcBorders>
              <w:top w:val="nil"/>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lang w:val="en-US"/>
              </w:rPr>
            </w:pPr>
            <w:r>
              <w:rPr>
                <w:rFonts w:hint="eastAsia" w:ascii="宋体" w:hAnsi="宋体" w:cs="宋体"/>
                <w:i w:val="0"/>
                <w:color w:val="000000"/>
                <w:kern w:val="0"/>
                <w:sz w:val="24"/>
                <w:szCs w:val="24"/>
                <w:u w:val="none"/>
                <w:lang w:val="en-US" w:eastAsia="zh-CN" w:bidi="ar"/>
              </w:rPr>
              <w:t>774.93</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576.09</w:t>
            </w:r>
            <w:r>
              <w:rPr>
                <w:rFonts w:hint="eastAsia" w:ascii="宋体" w:hAnsi="宋体" w:eastAsia="宋体" w:cs="宋体"/>
                <w:i w:val="0"/>
                <w:color w:val="000000"/>
                <w:kern w:val="0"/>
                <w:sz w:val="24"/>
                <w:szCs w:val="24"/>
                <w:u w:val="none"/>
                <w:lang w:val="en-US" w:eastAsia="zh-CN" w:bidi="ar"/>
              </w:rPr>
              <w:t xml:space="preserve"> </w:t>
            </w:r>
          </w:p>
        </w:tc>
        <w:tc>
          <w:tcPr>
            <w:tcW w:w="939"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95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191.48</w:t>
            </w:r>
            <w:r>
              <w:rPr>
                <w:rFonts w:hint="eastAsia" w:ascii="宋体" w:hAnsi="宋体" w:eastAsia="宋体" w:cs="宋体"/>
                <w:i w:val="0"/>
                <w:color w:val="000000"/>
                <w:kern w:val="0"/>
                <w:sz w:val="24"/>
                <w:szCs w:val="24"/>
                <w:u w:val="none"/>
                <w:lang w:val="en-US" w:eastAsia="zh-CN" w:bidi="ar"/>
              </w:rPr>
              <w:t xml:space="preserve"> </w:t>
            </w:r>
          </w:p>
        </w:tc>
        <w:tc>
          <w:tcPr>
            <w:tcW w:w="641"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859"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1267" w:type="dxa"/>
            <w:tcBorders>
              <w:top w:val="nil"/>
              <w:left w:val="nil"/>
              <w:bottom w:val="single" w:color="auto" w:sz="4" w:space="0"/>
              <w:right w:val="single" w:color="auto" w:sz="8"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7.36</w:t>
            </w:r>
            <w:r>
              <w:rPr>
                <w:rFonts w:hint="eastAsia" w:ascii="宋体" w:hAnsi="宋体" w:eastAsia="宋体" w:cs="宋体"/>
                <w:i w:val="0"/>
                <w:color w:val="000000"/>
                <w:kern w:val="0"/>
                <w:sz w:val="24"/>
                <w:szCs w:val="24"/>
                <w:u w:val="none"/>
                <w:lang w:val="en-US" w:eastAsia="zh-CN" w:bidi="ar"/>
              </w:rPr>
              <w:t xml:space="preserve"> </w:t>
            </w:r>
          </w:p>
        </w:tc>
      </w:tr>
      <w:tr>
        <w:tblPrEx>
          <w:tblLayout w:type="fixed"/>
          <w:tblCellMar>
            <w:top w:w="0" w:type="dxa"/>
            <w:left w:w="108" w:type="dxa"/>
            <w:bottom w:w="0" w:type="dxa"/>
            <w:right w:w="108" w:type="dxa"/>
          </w:tblCellMar>
        </w:tblPrEx>
        <w:trPr>
          <w:trHeight w:val="450" w:hRule="atLeast"/>
        </w:trPr>
        <w:tc>
          <w:tcPr>
            <w:tcW w:w="1233"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仿宋_GB2312" w:hAnsi="宋体" w:eastAsia="仿宋_GB2312" w:cs="宋体"/>
                <w:kern w:val="0"/>
                <w:sz w:val="24"/>
              </w:rPr>
            </w:pPr>
            <w:r>
              <w:rPr>
                <w:rFonts w:hint="eastAsia"/>
              </w:rPr>
              <w:t>210</w:t>
            </w:r>
          </w:p>
        </w:tc>
        <w:tc>
          <w:tcPr>
            <w:tcW w:w="1741"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仿宋_GB2312" w:hAnsi="宋体" w:eastAsia="仿宋_GB2312" w:cs="宋体"/>
                <w:kern w:val="0"/>
                <w:sz w:val="24"/>
              </w:rPr>
            </w:pPr>
            <w:r>
              <w:rPr>
                <w:rFonts w:hint="eastAsia"/>
              </w:rPr>
              <w:t>医疗卫生与计划生育支出</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eastAsia="宋体"/>
                <w:kern w:val="0"/>
                <w:sz w:val="20"/>
                <w:szCs w:val="20"/>
                <w:lang w:val="en-US" w:eastAsia="zh-CN"/>
              </w:rPr>
            </w:pPr>
            <w:r>
              <w:rPr>
                <w:rFonts w:hint="eastAsia"/>
                <w:kern w:val="0"/>
                <w:sz w:val="24"/>
                <w:szCs w:val="24"/>
                <w:lang w:val="en-US" w:eastAsia="zh-CN"/>
              </w:rPr>
              <w:t>774.93</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lang w:val="en-US"/>
              </w:rPr>
            </w:pPr>
            <w:r>
              <w:rPr>
                <w:rFonts w:hint="eastAsia" w:ascii="宋体" w:hAnsi="宋体" w:cs="宋体"/>
                <w:i w:val="0"/>
                <w:color w:val="000000"/>
                <w:kern w:val="0"/>
                <w:sz w:val="24"/>
                <w:szCs w:val="24"/>
                <w:u w:val="none"/>
                <w:lang w:val="en-US" w:eastAsia="zh-CN" w:bidi="ar"/>
              </w:rPr>
              <w:t>576.09</w:t>
            </w:r>
          </w:p>
        </w:tc>
        <w:tc>
          <w:tcPr>
            <w:tcW w:w="939"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95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191.48</w:t>
            </w:r>
            <w:r>
              <w:rPr>
                <w:rFonts w:hint="eastAsia" w:ascii="宋体" w:hAnsi="宋体" w:eastAsia="宋体" w:cs="宋体"/>
                <w:i w:val="0"/>
                <w:color w:val="000000"/>
                <w:kern w:val="0"/>
                <w:sz w:val="24"/>
                <w:szCs w:val="24"/>
                <w:u w:val="none"/>
                <w:lang w:val="en-US" w:eastAsia="zh-CN" w:bidi="ar"/>
              </w:rPr>
              <w:t xml:space="preserve"> </w:t>
            </w:r>
          </w:p>
        </w:tc>
        <w:tc>
          <w:tcPr>
            <w:tcW w:w="641"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859"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1267" w:type="dxa"/>
            <w:tcBorders>
              <w:top w:val="nil"/>
              <w:left w:val="nil"/>
              <w:bottom w:val="single" w:color="auto" w:sz="4" w:space="0"/>
              <w:right w:val="single" w:color="auto" w:sz="8"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7.36</w:t>
            </w:r>
            <w:r>
              <w:rPr>
                <w:rFonts w:hint="eastAsia" w:ascii="宋体" w:hAnsi="宋体" w:eastAsia="宋体" w:cs="宋体"/>
                <w:i w:val="0"/>
                <w:color w:val="000000"/>
                <w:kern w:val="0"/>
                <w:sz w:val="24"/>
                <w:szCs w:val="24"/>
                <w:u w:val="none"/>
                <w:lang w:val="en-US" w:eastAsia="zh-CN" w:bidi="ar"/>
              </w:rPr>
              <w:t xml:space="preserve"> </w:t>
            </w:r>
          </w:p>
        </w:tc>
      </w:tr>
      <w:tr>
        <w:tblPrEx>
          <w:tblLayout w:type="fixed"/>
          <w:tblCellMar>
            <w:top w:w="0" w:type="dxa"/>
            <w:left w:w="108" w:type="dxa"/>
            <w:bottom w:w="0" w:type="dxa"/>
            <w:right w:w="108" w:type="dxa"/>
          </w:tblCellMar>
        </w:tblPrEx>
        <w:trPr>
          <w:trHeight w:val="450" w:hRule="atLeast"/>
        </w:trPr>
        <w:tc>
          <w:tcPr>
            <w:tcW w:w="1233"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仿宋_GB2312" w:hAnsi="宋体" w:eastAsia="仿宋_GB2312" w:cs="宋体"/>
                <w:kern w:val="0"/>
                <w:sz w:val="24"/>
              </w:rPr>
            </w:pPr>
            <w:r>
              <w:rPr>
                <w:rFonts w:hint="eastAsia"/>
              </w:rPr>
              <w:t>21003</w:t>
            </w:r>
          </w:p>
        </w:tc>
        <w:tc>
          <w:tcPr>
            <w:tcW w:w="1741"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仿宋_GB2312" w:hAnsi="宋体" w:eastAsia="仿宋_GB2312" w:cs="宋体"/>
                <w:kern w:val="0"/>
                <w:sz w:val="24"/>
              </w:rPr>
            </w:pPr>
            <w:r>
              <w:rPr>
                <w:rFonts w:hint="eastAsia"/>
              </w:rPr>
              <w:t>基层医疗卫生机构</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eastAsia="宋体"/>
                <w:kern w:val="0"/>
                <w:sz w:val="20"/>
                <w:szCs w:val="20"/>
                <w:lang w:val="en-US" w:eastAsia="zh-CN"/>
              </w:rPr>
            </w:pPr>
            <w:r>
              <w:rPr>
                <w:rFonts w:hint="eastAsia"/>
                <w:kern w:val="0"/>
                <w:sz w:val="24"/>
                <w:szCs w:val="24"/>
                <w:lang w:val="en-US" w:eastAsia="zh-CN"/>
              </w:rPr>
              <w:t>422.54</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223.70</w:t>
            </w:r>
          </w:p>
        </w:tc>
        <w:tc>
          <w:tcPr>
            <w:tcW w:w="939"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95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eastAsia="宋体"/>
                <w:kern w:val="0"/>
                <w:sz w:val="20"/>
                <w:szCs w:val="20"/>
                <w:lang w:val="en-US" w:eastAsia="zh-CN"/>
              </w:rPr>
            </w:pPr>
            <w:r>
              <w:rPr>
                <w:rFonts w:hint="eastAsia" w:ascii="宋体" w:hAnsi="宋体" w:cs="宋体"/>
                <w:i w:val="0"/>
                <w:color w:val="000000"/>
                <w:kern w:val="0"/>
                <w:sz w:val="24"/>
                <w:szCs w:val="24"/>
                <w:u w:val="none"/>
                <w:lang w:val="en-US" w:eastAsia="zh-CN" w:bidi="ar"/>
              </w:rPr>
              <w:t>191.48</w:t>
            </w:r>
            <w:r>
              <w:rPr>
                <w:rFonts w:hint="eastAsia" w:ascii="宋体" w:hAnsi="宋体" w:eastAsia="宋体" w:cs="宋体"/>
                <w:i w:val="0"/>
                <w:color w:val="000000"/>
                <w:kern w:val="0"/>
                <w:sz w:val="24"/>
                <w:szCs w:val="24"/>
                <w:u w:val="none"/>
                <w:lang w:val="en-US" w:eastAsia="zh-CN" w:bidi="ar"/>
              </w:rPr>
              <w:t xml:space="preserve"> </w:t>
            </w:r>
          </w:p>
        </w:tc>
        <w:tc>
          <w:tcPr>
            <w:tcW w:w="641"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859"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1267" w:type="dxa"/>
            <w:tcBorders>
              <w:top w:val="nil"/>
              <w:left w:val="nil"/>
              <w:bottom w:val="single" w:color="auto" w:sz="4" w:space="0"/>
              <w:right w:val="single" w:color="auto" w:sz="8" w:space="0"/>
            </w:tcBorders>
            <w:vAlign w:val="center"/>
          </w:tcPr>
          <w:p>
            <w:pPr>
              <w:keepNext w:val="0"/>
              <w:keepLines w:val="0"/>
              <w:widowControl/>
              <w:suppressLineNumbers w:val="0"/>
              <w:jc w:val="right"/>
              <w:textAlignment w:val="center"/>
              <w:rPr>
                <w:rFonts w:hint="eastAsia" w:eastAsia="宋体"/>
                <w:kern w:val="0"/>
                <w:sz w:val="20"/>
                <w:szCs w:val="20"/>
                <w:lang w:val="en-US" w:eastAsia="zh-CN"/>
              </w:rPr>
            </w:pPr>
            <w:r>
              <w:rPr>
                <w:rFonts w:hint="eastAsia" w:ascii="宋体" w:hAnsi="宋体" w:cs="宋体"/>
                <w:i w:val="0"/>
                <w:color w:val="000000"/>
                <w:kern w:val="0"/>
                <w:sz w:val="24"/>
                <w:szCs w:val="24"/>
                <w:u w:val="none"/>
                <w:lang w:val="en-US" w:eastAsia="zh-CN" w:bidi="ar"/>
              </w:rPr>
              <w:t>7.36</w:t>
            </w:r>
            <w:r>
              <w:rPr>
                <w:rFonts w:hint="eastAsia" w:ascii="宋体" w:hAnsi="宋体" w:eastAsia="宋体" w:cs="宋体"/>
                <w:i w:val="0"/>
                <w:color w:val="000000"/>
                <w:kern w:val="0"/>
                <w:sz w:val="24"/>
                <w:szCs w:val="24"/>
                <w:u w:val="none"/>
                <w:lang w:val="en-US" w:eastAsia="zh-CN" w:bidi="ar"/>
              </w:rPr>
              <w:t xml:space="preserve"> </w:t>
            </w:r>
          </w:p>
        </w:tc>
      </w:tr>
      <w:tr>
        <w:tblPrEx>
          <w:tblLayout w:type="fixed"/>
          <w:tblCellMar>
            <w:top w:w="0" w:type="dxa"/>
            <w:left w:w="108" w:type="dxa"/>
            <w:bottom w:w="0" w:type="dxa"/>
            <w:right w:w="108" w:type="dxa"/>
          </w:tblCellMar>
        </w:tblPrEx>
        <w:trPr>
          <w:trHeight w:val="450" w:hRule="atLeast"/>
        </w:trPr>
        <w:tc>
          <w:tcPr>
            <w:tcW w:w="1233"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仿宋_GB2312" w:hAnsi="宋体" w:eastAsia="仿宋_GB2312" w:cs="宋体"/>
                <w:kern w:val="0"/>
                <w:sz w:val="24"/>
              </w:rPr>
            </w:pPr>
            <w:r>
              <w:rPr>
                <w:rFonts w:hint="eastAsia"/>
              </w:rPr>
              <w:t>2100301</w:t>
            </w:r>
          </w:p>
        </w:tc>
        <w:tc>
          <w:tcPr>
            <w:tcW w:w="1741"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仿宋_GB2312" w:hAnsi="宋体" w:eastAsia="仿宋_GB2312" w:cs="宋体"/>
                <w:kern w:val="0"/>
                <w:sz w:val="24"/>
              </w:rPr>
            </w:pPr>
            <w:r>
              <w:rPr>
                <w:rFonts w:hint="eastAsia"/>
              </w:rPr>
              <w:t xml:space="preserve">  城市社区卫生机构</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399.85</w:t>
            </w:r>
            <w:r>
              <w:rPr>
                <w:rFonts w:hint="eastAsia" w:ascii="宋体" w:hAnsi="宋体" w:eastAsia="宋体" w:cs="宋体"/>
                <w:i w:val="0"/>
                <w:color w:val="000000"/>
                <w:kern w:val="0"/>
                <w:sz w:val="24"/>
                <w:szCs w:val="24"/>
                <w:u w:val="none"/>
                <w:lang w:val="en-US" w:eastAsia="zh-CN" w:bidi="ar"/>
              </w:rPr>
              <w:t xml:space="preserve"> </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201.01</w:t>
            </w:r>
            <w:r>
              <w:rPr>
                <w:rFonts w:hint="eastAsia" w:ascii="宋体" w:hAnsi="宋体" w:eastAsia="宋体" w:cs="宋体"/>
                <w:i w:val="0"/>
                <w:color w:val="000000"/>
                <w:kern w:val="0"/>
                <w:sz w:val="24"/>
                <w:szCs w:val="24"/>
                <w:u w:val="none"/>
                <w:lang w:val="en-US" w:eastAsia="zh-CN" w:bidi="ar"/>
              </w:rPr>
              <w:t xml:space="preserve"> </w:t>
            </w:r>
          </w:p>
        </w:tc>
        <w:tc>
          <w:tcPr>
            <w:tcW w:w="939"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95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eastAsia="宋体"/>
                <w:kern w:val="0"/>
                <w:sz w:val="20"/>
                <w:szCs w:val="20"/>
                <w:lang w:val="en-US" w:eastAsia="zh-CN"/>
              </w:rPr>
            </w:pPr>
            <w:r>
              <w:rPr>
                <w:rFonts w:hint="eastAsia" w:ascii="宋体" w:hAnsi="宋体" w:cs="宋体"/>
                <w:i w:val="0"/>
                <w:color w:val="000000"/>
                <w:kern w:val="0"/>
                <w:sz w:val="24"/>
                <w:szCs w:val="24"/>
                <w:u w:val="none"/>
                <w:lang w:val="en-US" w:eastAsia="zh-CN" w:bidi="ar"/>
              </w:rPr>
              <w:t>191.48</w:t>
            </w:r>
            <w:r>
              <w:rPr>
                <w:rFonts w:hint="eastAsia" w:ascii="宋体" w:hAnsi="宋体" w:eastAsia="宋体" w:cs="宋体"/>
                <w:i w:val="0"/>
                <w:color w:val="000000"/>
                <w:kern w:val="0"/>
                <w:sz w:val="24"/>
                <w:szCs w:val="24"/>
                <w:u w:val="none"/>
                <w:lang w:val="en-US" w:eastAsia="zh-CN" w:bidi="ar"/>
              </w:rPr>
              <w:t xml:space="preserve"> </w:t>
            </w:r>
          </w:p>
        </w:tc>
        <w:tc>
          <w:tcPr>
            <w:tcW w:w="641"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859" w:type="dxa"/>
            <w:tcBorders>
              <w:top w:val="nil"/>
              <w:left w:val="nil"/>
              <w:bottom w:val="single" w:color="auto" w:sz="4" w:space="0"/>
              <w:right w:val="single" w:color="auto" w:sz="4" w:space="0"/>
            </w:tcBorders>
            <w:vAlign w:val="center"/>
          </w:tcPr>
          <w:p>
            <w:pPr>
              <w:jc w:val="right"/>
              <w:rPr>
                <w:rFonts w:hint="eastAsia" w:eastAsia="宋体"/>
                <w:kern w:val="0"/>
                <w:sz w:val="20"/>
                <w:szCs w:val="20"/>
                <w:lang w:val="en-US" w:eastAsia="zh-CN"/>
              </w:rPr>
            </w:pPr>
          </w:p>
        </w:tc>
        <w:tc>
          <w:tcPr>
            <w:tcW w:w="1267" w:type="dxa"/>
            <w:tcBorders>
              <w:top w:val="nil"/>
              <w:left w:val="nil"/>
              <w:bottom w:val="single" w:color="auto" w:sz="4" w:space="0"/>
              <w:right w:val="single" w:color="auto" w:sz="8" w:space="0"/>
            </w:tcBorders>
            <w:vAlign w:val="center"/>
          </w:tcPr>
          <w:p>
            <w:pPr>
              <w:keepNext w:val="0"/>
              <w:keepLines w:val="0"/>
              <w:widowControl/>
              <w:suppressLineNumbers w:val="0"/>
              <w:jc w:val="right"/>
              <w:textAlignment w:val="center"/>
              <w:rPr>
                <w:rFonts w:hint="eastAsia" w:eastAsia="宋体"/>
                <w:kern w:val="0"/>
                <w:sz w:val="20"/>
                <w:szCs w:val="20"/>
                <w:lang w:val="en-US" w:eastAsia="zh-CN"/>
              </w:rPr>
            </w:pPr>
            <w:r>
              <w:rPr>
                <w:rFonts w:hint="eastAsia" w:ascii="宋体" w:hAnsi="宋体" w:cs="宋体"/>
                <w:i w:val="0"/>
                <w:color w:val="000000"/>
                <w:kern w:val="0"/>
                <w:sz w:val="24"/>
                <w:szCs w:val="24"/>
                <w:u w:val="none"/>
                <w:lang w:val="en-US" w:eastAsia="zh-CN" w:bidi="ar"/>
              </w:rPr>
              <w:t>7.36</w:t>
            </w:r>
            <w:r>
              <w:rPr>
                <w:rFonts w:hint="eastAsia" w:ascii="宋体" w:hAnsi="宋体" w:eastAsia="宋体" w:cs="宋体"/>
                <w:i w:val="0"/>
                <w:color w:val="000000"/>
                <w:kern w:val="0"/>
                <w:sz w:val="24"/>
                <w:szCs w:val="24"/>
                <w:u w:val="none"/>
                <w:lang w:val="en-US" w:eastAsia="zh-CN" w:bidi="ar"/>
              </w:rPr>
              <w:t xml:space="preserve"> </w:t>
            </w:r>
          </w:p>
        </w:tc>
      </w:tr>
      <w:tr>
        <w:tblPrEx>
          <w:tblLayout w:type="fixed"/>
          <w:tblCellMar>
            <w:top w:w="0" w:type="dxa"/>
            <w:left w:w="108" w:type="dxa"/>
            <w:bottom w:w="0" w:type="dxa"/>
            <w:right w:w="108" w:type="dxa"/>
          </w:tblCellMar>
        </w:tblPrEx>
        <w:trPr>
          <w:trHeight w:val="90" w:hRule="atLeast"/>
        </w:trPr>
        <w:tc>
          <w:tcPr>
            <w:tcW w:w="1233"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rPr>
              <w:t>2100399</w:t>
            </w:r>
          </w:p>
        </w:tc>
        <w:tc>
          <w:tcPr>
            <w:tcW w:w="174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rPr>
              <w:t xml:space="preserve">  其他基层医疗卫生机构支出</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22.69</w:t>
            </w:r>
            <w:r>
              <w:rPr>
                <w:rFonts w:hint="eastAsia" w:ascii="宋体" w:hAnsi="宋体" w:eastAsia="宋体" w:cs="宋体"/>
                <w:i w:val="0"/>
                <w:color w:val="000000"/>
                <w:kern w:val="0"/>
                <w:sz w:val="24"/>
                <w:szCs w:val="24"/>
                <w:u w:val="none"/>
                <w:lang w:val="en-US" w:eastAsia="zh-CN" w:bidi="ar"/>
              </w:rPr>
              <w:t xml:space="preserve"> </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kern w:val="0"/>
                <w:sz w:val="20"/>
                <w:szCs w:val="20"/>
              </w:rPr>
            </w:pPr>
            <w:r>
              <w:rPr>
                <w:rFonts w:hint="eastAsia" w:ascii="宋体" w:hAnsi="宋体" w:cs="宋体"/>
                <w:i w:val="0"/>
                <w:color w:val="000000"/>
                <w:kern w:val="0"/>
                <w:sz w:val="24"/>
                <w:szCs w:val="24"/>
                <w:u w:val="none"/>
                <w:lang w:val="en-US" w:eastAsia="zh-CN" w:bidi="ar"/>
              </w:rPr>
              <w:t>22.69</w:t>
            </w:r>
            <w:r>
              <w:rPr>
                <w:rFonts w:hint="eastAsia" w:ascii="宋体" w:hAnsi="宋体" w:eastAsia="宋体" w:cs="宋体"/>
                <w:i w:val="0"/>
                <w:color w:val="000000"/>
                <w:kern w:val="0"/>
                <w:sz w:val="24"/>
                <w:szCs w:val="24"/>
                <w:u w:val="none"/>
                <w:lang w:val="en-US" w:eastAsia="zh-CN" w:bidi="ar"/>
              </w:rPr>
              <w:t xml:space="preserve"> </w:t>
            </w:r>
          </w:p>
        </w:tc>
        <w:tc>
          <w:tcPr>
            <w:tcW w:w="93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952" w:type="dxa"/>
            <w:tcBorders>
              <w:top w:val="nil"/>
              <w:left w:val="nil"/>
              <w:bottom w:val="single" w:color="auto" w:sz="4" w:space="0"/>
              <w:right w:val="single" w:color="auto" w:sz="4" w:space="0"/>
            </w:tcBorders>
            <w:vAlign w:val="center"/>
          </w:tcPr>
          <w:p>
            <w:pPr>
              <w:widowControl/>
              <w:jc w:val="left"/>
              <w:rPr>
                <w:kern w:val="0"/>
                <w:sz w:val="20"/>
                <w:szCs w:val="20"/>
              </w:rPr>
            </w:pPr>
          </w:p>
        </w:tc>
        <w:tc>
          <w:tcPr>
            <w:tcW w:w="641" w:type="dxa"/>
            <w:tcBorders>
              <w:top w:val="nil"/>
              <w:left w:val="nil"/>
              <w:bottom w:val="single" w:color="auto" w:sz="4" w:space="0"/>
              <w:right w:val="single" w:color="auto" w:sz="4" w:space="0"/>
            </w:tcBorders>
            <w:vAlign w:val="center"/>
          </w:tcPr>
          <w:p>
            <w:pPr>
              <w:widowControl/>
              <w:jc w:val="left"/>
              <w:rPr>
                <w:kern w:val="0"/>
                <w:sz w:val="20"/>
                <w:szCs w:val="20"/>
              </w:rPr>
            </w:pPr>
          </w:p>
        </w:tc>
        <w:tc>
          <w:tcPr>
            <w:tcW w:w="859" w:type="dxa"/>
            <w:tcBorders>
              <w:top w:val="nil"/>
              <w:left w:val="nil"/>
              <w:bottom w:val="single" w:color="auto" w:sz="4" w:space="0"/>
              <w:right w:val="single" w:color="auto" w:sz="4" w:space="0"/>
            </w:tcBorders>
            <w:vAlign w:val="center"/>
          </w:tcPr>
          <w:p>
            <w:pPr>
              <w:widowControl/>
              <w:jc w:val="left"/>
              <w:rPr>
                <w:kern w:val="0"/>
                <w:sz w:val="20"/>
                <w:szCs w:val="20"/>
              </w:rPr>
            </w:pPr>
          </w:p>
        </w:tc>
        <w:tc>
          <w:tcPr>
            <w:tcW w:w="1267" w:type="dxa"/>
            <w:tcBorders>
              <w:top w:val="nil"/>
              <w:left w:val="nil"/>
              <w:bottom w:val="single" w:color="auto" w:sz="4" w:space="0"/>
              <w:right w:val="single" w:color="auto" w:sz="8" w:space="0"/>
            </w:tcBorders>
            <w:vAlign w:val="center"/>
          </w:tcPr>
          <w:p>
            <w:pPr>
              <w:widowControl/>
              <w:jc w:val="left"/>
              <w:rPr>
                <w:kern w:val="0"/>
                <w:sz w:val="20"/>
                <w:szCs w:val="20"/>
              </w:rPr>
            </w:pPr>
          </w:p>
        </w:tc>
      </w:tr>
      <w:tr>
        <w:tblPrEx>
          <w:tblLayout w:type="fixed"/>
          <w:tblCellMar>
            <w:top w:w="0" w:type="dxa"/>
            <w:left w:w="108" w:type="dxa"/>
            <w:bottom w:w="0" w:type="dxa"/>
            <w:right w:w="108" w:type="dxa"/>
          </w:tblCellMar>
        </w:tblPrEx>
        <w:trPr>
          <w:trHeight w:val="450" w:hRule="atLeast"/>
        </w:trPr>
        <w:tc>
          <w:tcPr>
            <w:tcW w:w="1233"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rPr>
              <w:t>21004</w:t>
            </w:r>
          </w:p>
        </w:tc>
        <w:tc>
          <w:tcPr>
            <w:tcW w:w="174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rPr>
              <w:t>公共卫生</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352.39</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352.39</w:t>
            </w:r>
          </w:p>
        </w:tc>
        <w:tc>
          <w:tcPr>
            <w:tcW w:w="93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5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64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8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267" w:type="dxa"/>
            <w:tcBorders>
              <w:top w:val="nil"/>
              <w:left w:val="nil"/>
              <w:bottom w:val="single" w:color="auto" w:sz="4" w:space="0"/>
              <w:right w:val="single" w:color="auto" w:sz="8" w:space="0"/>
            </w:tcBorders>
            <w:vAlign w:val="center"/>
          </w:tcPr>
          <w:p>
            <w:pPr>
              <w:widowControl/>
              <w:jc w:val="center"/>
              <w:rPr>
                <w:rFonts w:ascii="仿宋_GB2312" w:hAnsi="宋体" w:eastAsia="仿宋_GB2312" w:cs="宋体"/>
                <w:kern w:val="0"/>
                <w:sz w:val="24"/>
              </w:rPr>
            </w:pPr>
          </w:p>
        </w:tc>
      </w:tr>
      <w:tr>
        <w:tblPrEx>
          <w:tblLayout w:type="fixed"/>
          <w:tblCellMar>
            <w:top w:w="0" w:type="dxa"/>
            <w:left w:w="108" w:type="dxa"/>
            <w:bottom w:w="0" w:type="dxa"/>
            <w:right w:w="108" w:type="dxa"/>
          </w:tblCellMar>
        </w:tblPrEx>
        <w:trPr>
          <w:trHeight w:val="450" w:hRule="atLeast"/>
        </w:trPr>
        <w:tc>
          <w:tcPr>
            <w:tcW w:w="1233"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widowControl/>
              <w:jc w:val="center"/>
              <w:rPr>
                <w:rFonts w:ascii="仿宋_GB2312" w:hAnsi="宋体" w:eastAsia="仿宋_GB2312" w:cs="宋体"/>
                <w:kern w:val="0"/>
                <w:sz w:val="24"/>
              </w:rPr>
            </w:pPr>
            <w:r>
              <w:rPr>
                <w:rFonts w:hint="eastAsia"/>
              </w:rPr>
              <w:t>2100408</w:t>
            </w:r>
          </w:p>
        </w:tc>
        <w:tc>
          <w:tcPr>
            <w:tcW w:w="1741" w:type="dxa"/>
            <w:tcBorders>
              <w:top w:val="nil"/>
              <w:left w:val="nil"/>
              <w:bottom w:val="single" w:color="auto" w:sz="4" w:space="0"/>
              <w:right w:val="single" w:color="auto" w:sz="4" w:space="0"/>
            </w:tcBorders>
            <w:shd w:val="clear" w:color="auto" w:fill="FFFFFF"/>
            <w:vAlign w:val="center"/>
          </w:tcPr>
          <w:p>
            <w:pPr>
              <w:widowControl/>
              <w:jc w:val="left"/>
              <w:rPr>
                <w:rFonts w:ascii="仿宋_GB2312" w:hAnsi="宋体" w:eastAsia="仿宋_GB2312" w:cs="宋体"/>
                <w:kern w:val="0"/>
                <w:sz w:val="24"/>
              </w:rPr>
            </w:pPr>
            <w:r>
              <w:rPr>
                <w:rFonts w:hint="eastAsia"/>
              </w:rPr>
              <w:t xml:space="preserve">  基本公共卫生服务</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352.39</w:t>
            </w:r>
          </w:p>
        </w:tc>
        <w:tc>
          <w:tcPr>
            <w:tcW w:w="94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仿宋_GB2312" w:hAnsi="宋体" w:eastAsia="仿宋_GB2312" w:cs="宋体"/>
                <w:kern w:val="0"/>
                <w:sz w:val="24"/>
                <w:lang w:val="en-US" w:eastAsia="zh-CN"/>
              </w:rPr>
            </w:pPr>
            <w:r>
              <w:rPr>
                <w:rFonts w:hint="eastAsia" w:ascii="仿宋_GB2312" w:hAnsi="宋体" w:eastAsia="仿宋_GB2312" w:cs="宋体"/>
                <w:kern w:val="0"/>
                <w:sz w:val="24"/>
                <w:lang w:val="en-US" w:eastAsia="zh-CN"/>
              </w:rPr>
              <w:t>352.39</w:t>
            </w:r>
          </w:p>
        </w:tc>
        <w:tc>
          <w:tcPr>
            <w:tcW w:w="93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95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64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8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4"/>
              </w:rPr>
            </w:pPr>
          </w:p>
        </w:tc>
        <w:tc>
          <w:tcPr>
            <w:tcW w:w="1267" w:type="dxa"/>
            <w:tcBorders>
              <w:top w:val="nil"/>
              <w:left w:val="nil"/>
              <w:bottom w:val="single" w:color="auto" w:sz="4" w:space="0"/>
              <w:right w:val="single" w:color="auto" w:sz="8" w:space="0"/>
            </w:tcBorders>
            <w:vAlign w:val="center"/>
          </w:tcPr>
          <w:p>
            <w:pPr>
              <w:widowControl/>
              <w:jc w:val="center"/>
              <w:rPr>
                <w:rFonts w:ascii="仿宋_GB2312" w:hAnsi="宋体" w:eastAsia="仿宋_GB2312" w:cs="宋体"/>
                <w:kern w:val="0"/>
                <w:sz w:val="24"/>
              </w:rPr>
            </w:pP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注：本表反映部门本年度取得的各项收入情况。有关填表说明：</w:t>
      </w:r>
    </w:p>
    <w:p>
      <w:pPr>
        <w:spacing w:line="580" w:lineRule="exact"/>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本表功能科目填列到项级支出科目，没有发生数的支出科目不用填列。</w:t>
      </w:r>
    </w:p>
    <w:p>
      <w:pPr>
        <w:spacing w:line="580" w:lineRule="exact"/>
        <w:rPr>
          <w:rFonts w:hint="eastAsia" w:ascii="仿宋_GB2312" w:hAnsi="宋体" w:eastAsia="仿宋_GB2312"/>
          <w:sz w:val="28"/>
          <w:szCs w:val="28"/>
        </w:rPr>
      </w:pPr>
      <w:r>
        <w:rPr>
          <w:rFonts w:hint="eastAsia" w:ascii="仿宋_GB2312" w:hAnsi="宋体" w:eastAsia="仿宋_GB2312"/>
          <w:sz w:val="28"/>
          <w:szCs w:val="28"/>
        </w:rPr>
        <w:t>（3）1栏=（2+3+4+5+6+7）栏。</w:t>
      </w:r>
    </w:p>
    <w:p>
      <w:pPr>
        <w:spacing w:line="580" w:lineRule="exact"/>
        <w:rPr>
          <w:rFonts w:hint="eastAsia" w:ascii="仿宋_GB2312" w:hAnsi="宋体" w:eastAsia="仿宋_GB2312"/>
          <w:sz w:val="28"/>
          <w:szCs w:val="28"/>
        </w:rPr>
      </w:pPr>
    </w:p>
    <w:p>
      <w:pPr>
        <w:spacing w:line="360" w:lineRule="auto"/>
        <w:rPr>
          <w:rFonts w:ascii="仿宋_GB2312" w:eastAsia="仿宋_GB2312"/>
          <w:sz w:val="28"/>
          <w:szCs w:val="28"/>
        </w:rPr>
      </w:pPr>
      <w:r>
        <w:rPr>
          <w:rFonts w:hint="eastAsia" w:ascii="仿宋_GB2312" w:eastAsia="仿宋_GB2312"/>
          <w:sz w:val="28"/>
          <w:szCs w:val="28"/>
        </w:rPr>
        <w:t>（4）此表没有发生数据的，在合计行填“0”，并在该表下方附简要说明。</w:t>
      </w:r>
    </w:p>
    <w:p>
      <w:pPr>
        <w:numPr>
          <w:ilvl w:val="0"/>
          <w:numId w:val="0"/>
        </w:numPr>
        <w:ind w:leftChars="0"/>
        <w:rPr>
          <w:rFonts w:hint="eastAsia" w:ascii="仿宋_GB2312" w:eastAsia="仿宋_GB2312"/>
          <w:sz w:val="28"/>
          <w:szCs w:val="28"/>
        </w:rPr>
      </w:pPr>
      <w:r>
        <w:rPr>
          <w:rFonts w:hint="eastAsia" w:ascii="仿宋_GB2312" w:eastAsia="仿宋_GB2312"/>
          <w:sz w:val="28"/>
          <w:szCs w:val="28"/>
        </w:rPr>
        <w:t>（5）该表数据来源于部门决算报表中的《收入决算表》（财决03表）。</w:t>
      </w:r>
    </w:p>
    <w:p>
      <w:pPr>
        <w:numPr>
          <w:ilvl w:val="0"/>
          <w:numId w:val="0"/>
        </w:numPr>
        <w:ind w:leftChars="0"/>
        <w:rPr>
          <w:rFonts w:hint="eastAsia" w:ascii="仿宋_GB2312" w:eastAsia="仿宋_GB2312"/>
          <w:sz w:val="28"/>
          <w:szCs w:val="28"/>
        </w:rPr>
      </w:pPr>
    </w:p>
    <w:p>
      <w:pPr>
        <w:spacing w:line="360" w:lineRule="auto"/>
        <w:ind w:firstLine="598" w:firstLineChars="187"/>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p>
      <w:pPr>
        <w:spacing w:line="360" w:lineRule="auto"/>
        <w:ind w:firstLine="374" w:firstLineChars="187"/>
        <w:jc w:val="left"/>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公开03表</w:t>
      </w:r>
    </w:p>
    <w:p>
      <w:pPr>
        <w:spacing w:line="360" w:lineRule="auto"/>
        <w:ind w:firstLine="374" w:firstLineChars="187"/>
        <w:jc w:val="both"/>
        <w:rPr>
          <w:rFonts w:hint="eastAsia"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rPr>
        <w:t xml:space="preserve"> 罗定市罗城街道罗城社区卫生服务中心                             </w:t>
      </w:r>
      <w:r>
        <w:rPr>
          <w:rFonts w:hint="eastAsia" w:ascii="宋体" w:hAnsi="宋体" w:cs="宋体"/>
          <w:color w:val="000000"/>
          <w:kern w:val="0"/>
          <w:sz w:val="20"/>
          <w:szCs w:val="20"/>
        </w:rPr>
        <w:t>单位：万元</w:t>
      </w:r>
    </w:p>
    <w:tbl>
      <w:tblPr>
        <w:tblStyle w:val="6"/>
        <w:tblW w:w="9176" w:type="dxa"/>
        <w:tblInd w:w="91" w:type="dxa"/>
        <w:tblLayout w:type="fixed"/>
        <w:tblCellMar>
          <w:top w:w="0" w:type="dxa"/>
          <w:left w:w="108" w:type="dxa"/>
          <w:bottom w:w="0" w:type="dxa"/>
          <w:right w:w="108" w:type="dxa"/>
        </w:tblCellMar>
      </w:tblPr>
      <w:tblGrid>
        <w:gridCol w:w="1095"/>
        <w:gridCol w:w="130"/>
        <w:gridCol w:w="1909"/>
        <w:gridCol w:w="992"/>
        <w:gridCol w:w="956"/>
        <w:gridCol w:w="1055"/>
        <w:gridCol w:w="992"/>
        <w:gridCol w:w="913"/>
        <w:gridCol w:w="1134"/>
      </w:tblGrid>
      <w:tr>
        <w:tblPrEx>
          <w:tblLayout w:type="fixed"/>
          <w:tblCellMar>
            <w:top w:w="0" w:type="dxa"/>
            <w:left w:w="108" w:type="dxa"/>
            <w:bottom w:w="0" w:type="dxa"/>
            <w:right w:w="108" w:type="dxa"/>
          </w:tblCellMar>
        </w:tblPrEx>
        <w:trPr>
          <w:trHeight w:val="448" w:hRule="atLeast"/>
          <w:tblHeader/>
        </w:trPr>
        <w:tc>
          <w:tcPr>
            <w:tcW w:w="3134" w:type="dxa"/>
            <w:gridSpan w:val="3"/>
            <w:tcBorders>
              <w:top w:val="single" w:color="auto" w:sz="8" w:space="0"/>
              <w:left w:val="single" w:color="auto" w:sz="8" w:space="0"/>
              <w:bottom w:val="single" w:color="auto"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本年支出合计</w:t>
            </w:r>
          </w:p>
        </w:tc>
        <w:tc>
          <w:tcPr>
            <w:tcW w:w="956"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基本支出</w:t>
            </w:r>
          </w:p>
        </w:tc>
        <w:tc>
          <w:tcPr>
            <w:tcW w:w="1055"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项目支出</w:t>
            </w:r>
          </w:p>
        </w:tc>
        <w:tc>
          <w:tcPr>
            <w:tcW w:w="992"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上缴上级支出</w:t>
            </w:r>
          </w:p>
        </w:tc>
        <w:tc>
          <w:tcPr>
            <w:tcW w:w="913" w:type="dxa"/>
            <w:vMerge w:val="restart"/>
            <w:tcBorders>
              <w:top w:val="single" w:color="auto" w:sz="8" w:space="0"/>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经营支出</w:t>
            </w:r>
          </w:p>
        </w:tc>
        <w:tc>
          <w:tcPr>
            <w:tcW w:w="1134" w:type="dxa"/>
            <w:vMerge w:val="restart"/>
            <w:tcBorders>
              <w:top w:val="single" w:color="auto" w:sz="8" w:space="0"/>
              <w:left w:val="single" w:color="auto" w:sz="4" w:space="0"/>
              <w:bottom w:val="single" w:color="000000"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对附属单位补助支出</w:t>
            </w:r>
          </w:p>
        </w:tc>
      </w:tr>
      <w:tr>
        <w:tblPrEx>
          <w:tblLayout w:type="fixed"/>
          <w:tblCellMar>
            <w:top w:w="0" w:type="dxa"/>
            <w:left w:w="108" w:type="dxa"/>
            <w:bottom w:w="0" w:type="dxa"/>
            <w:right w:w="108" w:type="dxa"/>
          </w:tblCellMar>
        </w:tblPrEx>
        <w:trPr>
          <w:trHeight w:val="448" w:hRule="atLeast"/>
          <w:tblHeader/>
        </w:trPr>
        <w:tc>
          <w:tcPr>
            <w:tcW w:w="1225" w:type="dxa"/>
            <w:gridSpan w:val="2"/>
            <w:vMerge w:val="restart"/>
            <w:tcBorders>
              <w:top w:val="single" w:color="auto" w:sz="4" w:space="0"/>
              <w:left w:val="single" w:color="auto" w:sz="8" w:space="0"/>
              <w:bottom w:val="single" w:color="000000" w:sz="4" w:space="0"/>
              <w:right w:val="nil"/>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909" w:type="dxa"/>
            <w:vMerge w:val="restart"/>
            <w:tcBorders>
              <w:top w:val="nil"/>
              <w:left w:val="single" w:color="auto" w:sz="4" w:space="0"/>
              <w:bottom w:val="single" w:color="000000"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5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13"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48" w:hRule="atLeast"/>
          <w:tblHeader/>
        </w:trPr>
        <w:tc>
          <w:tcPr>
            <w:tcW w:w="1225" w:type="dxa"/>
            <w:gridSpan w:val="2"/>
            <w:vMerge w:val="continue"/>
            <w:tcBorders>
              <w:top w:val="single" w:color="auto" w:sz="4" w:space="0"/>
              <w:left w:val="single" w:color="auto" w:sz="8" w:space="0"/>
              <w:bottom w:val="single" w:color="000000" w:sz="4" w:space="0"/>
              <w:right w:val="nil"/>
            </w:tcBorders>
            <w:vAlign w:val="center"/>
          </w:tcPr>
          <w:p>
            <w:pPr>
              <w:widowControl/>
              <w:jc w:val="left"/>
              <w:rPr>
                <w:rFonts w:ascii="宋体" w:hAnsi="宋体" w:cs="宋体"/>
                <w:kern w:val="0"/>
                <w:sz w:val="24"/>
              </w:rPr>
            </w:pPr>
          </w:p>
        </w:tc>
        <w:tc>
          <w:tcPr>
            <w:tcW w:w="190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56"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55"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92"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13"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48" w:hRule="atLeast"/>
          <w:tblHeader/>
        </w:trPr>
        <w:tc>
          <w:tcPr>
            <w:tcW w:w="3134" w:type="dxa"/>
            <w:gridSpan w:val="3"/>
            <w:tcBorders>
              <w:top w:val="single" w:color="auto" w:sz="4" w:space="0"/>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栏次</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956"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1055"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992"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c>
          <w:tcPr>
            <w:tcW w:w="913" w:type="dxa"/>
            <w:tcBorders>
              <w:top w:val="nil"/>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5</w:t>
            </w:r>
          </w:p>
        </w:tc>
        <w:tc>
          <w:tcPr>
            <w:tcW w:w="1134" w:type="dxa"/>
            <w:tcBorders>
              <w:top w:val="nil"/>
              <w:left w:val="nil"/>
              <w:bottom w:val="single" w:color="auto" w:sz="4" w:space="0"/>
              <w:right w:val="single" w:color="auto" w:sz="8"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trHeight w:val="450" w:hRule="atLeast"/>
        </w:trPr>
        <w:tc>
          <w:tcPr>
            <w:tcW w:w="3134" w:type="dxa"/>
            <w:gridSpan w:val="3"/>
            <w:tcBorders>
              <w:top w:val="nil"/>
              <w:left w:val="single" w:color="auto" w:sz="8" w:space="0"/>
              <w:bottom w:val="single" w:color="auto" w:sz="4" w:space="0"/>
              <w:right w:val="single" w:color="000000"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99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576.09</w:t>
            </w:r>
            <w:r>
              <w:rPr>
                <w:rFonts w:hint="eastAsia" w:ascii="宋体" w:hAnsi="宋体" w:eastAsia="宋体" w:cs="宋体"/>
                <w:i w:val="0"/>
                <w:color w:val="000000"/>
                <w:kern w:val="0"/>
                <w:sz w:val="24"/>
                <w:szCs w:val="24"/>
                <w:u w:val="none"/>
                <w:lang w:val="en-US" w:eastAsia="zh-CN" w:bidi="ar"/>
              </w:rPr>
              <w:t xml:space="preserve"> </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201.01</w:t>
            </w:r>
            <w:r>
              <w:rPr>
                <w:rFonts w:hint="eastAsia" w:ascii="宋体" w:hAnsi="宋体" w:eastAsia="宋体" w:cs="宋体"/>
                <w:i w:val="0"/>
                <w:color w:val="000000"/>
                <w:kern w:val="0"/>
                <w:sz w:val="24"/>
                <w:szCs w:val="24"/>
                <w:u w:val="none"/>
                <w:lang w:val="en-US" w:eastAsia="zh-CN" w:bidi="ar"/>
              </w:rPr>
              <w:t xml:space="preserve">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375.08</w:t>
            </w:r>
            <w:r>
              <w:rPr>
                <w:rFonts w:hint="eastAsia" w:ascii="宋体" w:hAnsi="宋体" w:eastAsia="宋体" w:cs="宋体"/>
                <w:i w:val="0"/>
                <w:color w:val="000000"/>
                <w:kern w:val="0"/>
                <w:sz w:val="24"/>
                <w:szCs w:val="24"/>
                <w:u w:val="none"/>
                <w:lang w:val="en-US" w:eastAsia="zh-CN" w:bidi="ar"/>
              </w:rPr>
              <w:t xml:space="preserve">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p>
        </w:tc>
      </w:tr>
      <w:tr>
        <w:tblPrEx>
          <w:tblLayout w:type="fixed"/>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kern w:val="0"/>
                <w:sz w:val="24"/>
                <w:lang w:val="en-US" w:eastAsia="zh-CN"/>
              </w:rPr>
            </w:pPr>
            <w:r>
              <w:rPr>
                <w:rFonts w:hint="eastAsia" w:ascii="宋体" w:hAnsi="宋体" w:cs="宋体"/>
                <w:kern w:val="0"/>
                <w:sz w:val="24"/>
                <w:lang w:val="en-US" w:eastAsia="zh-CN"/>
              </w:rPr>
              <w:t>208</w:t>
            </w: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社会保障和就业支出</w:t>
            </w:r>
          </w:p>
        </w:tc>
        <w:tc>
          <w:tcPr>
            <w:tcW w:w="992" w:type="dxa"/>
            <w:tcBorders>
              <w:top w:val="nil"/>
              <w:left w:val="nil"/>
              <w:bottom w:val="single" w:color="auto" w:sz="4" w:space="0"/>
              <w:right w:val="single" w:color="auto" w:sz="4" w:space="0"/>
            </w:tcBorders>
            <w:vAlign w:val="center"/>
          </w:tcPr>
          <w:p>
            <w:pPr>
              <w:jc w:val="right"/>
              <w:rPr>
                <w:rFonts w:hint="eastAsia" w:ascii="宋体" w:hAnsi="宋体" w:eastAsia="宋体" w:cs="宋体"/>
                <w:kern w:val="0"/>
                <w:sz w:val="24"/>
                <w:lang w:val="en-US" w:eastAsia="zh-CN"/>
              </w:rPr>
            </w:pPr>
          </w:p>
        </w:tc>
        <w:tc>
          <w:tcPr>
            <w:tcW w:w="956" w:type="dxa"/>
            <w:tcBorders>
              <w:top w:val="nil"/>
              <w:left w:val="nil"/>
              <w:bottom w:val="single" w:color="auto" w:sz="4" w:space="0"/>
              <w:right w:val="single" w:color="auto" w:sz="4" w:space="0"/>
            </w:tcBorders>
            <w:vAlign w:val="center"/>
          </w:tcPr>
          <w:p>
            <w:pPr>
              <w:jc w:val="right"/>
              <w:rPr>
                <w:rFonts w:hint="eastAsia" w:ascii="宋体" w:hAnsi="宋体" w:eastAsia="宋体" w:cs="宋体"/>
                <w:kern w:val="0"/>
                <w:sz w:val="24"/>
                <w:lang w:val="en-US" w:eastAsia="zh-CN"/>
              </w:rPr>
            </w:pPr>
          </w:p>
        </w:tc>
        <w:tc>
          <w:tcPr>
            <w:tcW w:w="1055" w:type="dxa"/>
            <w:tcBorders>
              <w:top w:val="nil"/>
              <w:left w:val="nil"/>
              <w:bottom w:val="single" w:color="auto" w:sz="4" w:space="0"/>
              <w:right w:val="single" w:color="auto" w:sz="4" w:space="0"/>
            </w:tcBorders>
            <w:vAlign w:val="center"/>
          </w:tcPr>
          <w:p>
            <w:pPr>
              <w:jc w:val="right"/>
              <w:rPr>
                <w:rFonts w:hint="eastAsia" w:ascii="宋体" w:hAnsi="宋体" w:eastAsia="宋体" w:cs="宋体"/>
                <w:kern w:val="0"/>
                <w:sz w:val="24"/>
                <w:lang w:val="en-US" w:eastAsia="zh-CN"/>
              </w:rPr>
            </w:pP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913"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1134"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24"/>
                <w:lang w:val="en-US" w:eastAsia="zh-CN"/>
              </w:rPr>
            </w:pP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20805</w:t>
            </w: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行政事业单位离退休</w:t>
            </w:r>
          </w:p>
        </w:tc>
        <w:tc>
          <w:tcPr>
            <w:tcW w:w="992" w:type="dxa"/>
            <w:tcBorders>
              <w:top w:val="nil"/>
              <w:left w:val="nil"/>
              <w:bottom w:val="single" w:color="auto" w:sz="4" w:space="0"/>
              <w:right w:val="single" w:color="auto" w:sz="4" w:space="0"/>
            </w:tcBorders>
            <w:vAlign w:val="center"/>
          </w:tcPr>
          <w:p>
            <w:pPr>
              <w:jc w:val="right"/>
              <w:rPr>
                <w:rFonts w:hint="eastAsia" w:ascii="宋体" w:hAnsi="宋体" w:cs="宋体"/>
                <w:kern w:val="0"/>
                <w:sz w:val="24"/>
                <w:lang w:val="en-US" w:eastAsia="zh-CN"/>
              </w:rPr>
            </w:pPr>
          </w:p>
        </w:tc>
        <w:tc>
          <w:tcPr>
            <w:tcW w:w="956" w:type="dxa"/>
            <w:tcBorders>
              <w:top w:val="nil"/>
              <w:left w:val="nil"/>
              <w:bottom w:val="single" w:color="auto" w:sz="4" w:space="0"/>
              <w:right w:val="single" w:color="auto" w:sz="4" w:space="0"/>
            </w:tcBorders>
            <w:vAlign w:val="center"/>
          </w:tcPr>
          <w:p>
            <w:pPr>
              <w:jc w:val="right"/>
              <w:rPr>
                <w:rFonts w:hint="eastAsia" w:ascii="宋体" w:hAnsi="宋体" w:cs="宋体"/>
                <w:kern w:val="0"/>
                <w:sz w:val="24"/>
                <w:lang w:val="en-US" w:eastAsia="zh-CN"/>
              </w:rPr>
            </w:pPr>
          </w:p>
        </w:tc>
        <w:tc>
          <w:tcPr>
            <w:tcW w:w="1055" w:type="dxa"/>
            <w:tcBorders>
              <w:top w:val="nil"/>
              <w:left w:val="nil"/>
              <w:bottom w:val="single" w:color="auto" w:sz="4" w:space="0"/>
              <w:right w:val="single" w:color="auto" w:sz="4" w:space="0"/>
            </w:tcBorders>
            <w:vAlign w:val="center"/>
          </w:tcPr>
          <w:p>
            <w:pPr>
              <w:jc w:val="right"/>
              <w:rPr>
                <w:rFonts w:hint="eastAsia" w:ascii="宋体" w:hAnsi="宋体" w:cs="宋体"/>
                <w:kern w:val="0"/>
                <w:sz w:val="24"/>
                <w:lang w:val="en-US" w:eastAsia="zh-CN"/>
              </w:rPr>
            </w:pP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cs="宋体"/>
                <w:kern w:val="0"/>
                <w:sz w:val="24"/>
                <w:lang w:val="en-US" w:eastAsia="zh-CN"/>
              </w:rPr>
            </w:pPr>
          </w:p>
        </w:tc>
        <w:tc>
          <w:tcPr>
            <w:tcW w:w="913" w:type="dxa"/>
            <w:tcBorders>
              <w:top w:val="nil"/>
              <w:left w:val="nil"/>
              <w:bottom w:val="single" w:color="auto" w:sz="4" w:space="0"/>
              <w:right w:val="single" w:color="auto" w:sz="4" w:space="0"/>
            </w:tcBorders>
            <w:vAlign w:val="center"/>
          </w:tcPr>
          <w:p>
            <w:pPr>
              <w:widowControl/>
              <w:jc w:val="right"/>
              <w:rPr>
                <w:rFonts w:hint="eastAsia" w:ascii="宋体" w:hAnsi="宋体" w:cs="宋体"/>
                <w:kern w:val="0"/>
                <w:sz w:val="24"/>
                <w:lang w:val="en-US" w:eastAsia="zh-CN"/>
              </w:rPr>
            </w:pPr>
          </w:p>
        </w:tc>
        <w:tc>
          <w:tcPr>
            <w:tcW w:w="1134" w:type="dxa"/>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4"/>
                <w:lang w:val="en-US" w:eastAsia="zh-CN"/>
              </w:rPr>
            </w:pP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 xml:space="preserve">2080502 </w:t>
            </w: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事业单位离退休</w:t>
            </w:r>
          </w:p>
        </w:tc>
        <w:tc>
          <w:tcPr>
            <w:tcW w:w="992" w:type="dxa"/>
            <w:tcBorders>
              <w:top w:val="nil"/>
              <w:left w:val="nil"/>
              <w:bottom w:val="single" w:color="auto" w:sz="4" w:space="0"/>
              <w:right w:val="single" w:color="auto" w:sz="4" w:space="0"/>
            </w:tcBorders>
            <w:vAlign w:val="center"/>
          </w:tcPr>
          <w:p>
            <w:pPr>
              <w:jc w:val="right"/>
              <w:rPr>
                <w:rFonts w:hint="eastAsia" w:ascii="宋体" w:hAnsi="宋体" w:cs="宋体"/>
                <w:kern w:val="0"/>
                <w:sz w:val="24"/>
                <w:lang w:val="en-US" w:eastAsia="zh-CN"/>
              </w:rPr>
            </w:pPr>
          </w:p>
        </w:tc>
        <w:tc>
          <w:tcPr>
            <w:tcW w:w="956" w:type="dxa"/>
            <w:tcBorders>
              <w:top w:val="nil"/>
              <w:left w:val="nil"/>
              <w:bottom w:val="single" w:color="auto" w:sz="4" w:space="0"/>
              <w:right w:val="single" w:color="auto" w:sz="4" w:space="0"/>
            </w:tcBorders>
            <w:vAlign w:val="center"/>
          </w:tcPr>
          <w:p>
            <w:pPr>
              <w:jc w:val="right"/>
              <w:rPr>
                <w:rFonts w:hint="eastAsia" w:ascii="宋体" w:hAnsi="宋体" w:cs="宋体"/>
                <w:kern w:val="0"/>
                <w:sz w:val="24"/>
                <w:lang w:val="en-US" w:eastAsia="zh-CN"/>
              </w:rPr>
            </w:pPr>
          </w:p>
        </w:tc>
        <w:tc>
          <w:tcPr>
            <w:tcW w:w="1055" w:type="dxa"/>
            <w:tcBorders>
              <w:top w:val="nil"/>
              <w:left w:val="nil"/>
              <w:bottom w:val="single" w:color="auto" w:sz="4" w:space="0"/>
              <w:right w:val="single" w:color="auto" w:sz="4" w:space="0"/>
            </w:tcBorders>
            <w:vAlign w:val="center"/>
          </w:tcPr>
          <w:p>
            <w:pPr>
              <w:jc w:val="right"/>
              <w:rPr>
                <w:rFonts w:hint="eastAsia" w:ascii="宋体" w:hAnsi="宋体" w:cs="宋体"/>
                <w:kern w:val="0"/>
                <w:sz w:val="24"/>
                <w:lang w:val="en-US" w:eastAsia="zh-CN"/>
              </w:rPr>
            </w:pP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cs="宋体"/>
                <w:kern w:val="0"/>
                <w:sz w:val="24"/>
                <w:lang w:val="en-US" w:eastAsia="zh-CN"/>
              </w:rPr>
            </w:pPr>
          </w:p>
        </w:tc>
        <w:tc>
          <w:tcPr>
            <w:tcW w:w="913" w:type="dxa"/>
            <w:tcBorders>
              <w:top w:val="nil"/>
              <w:left w:val="nil"/>
              <w:bottom w:val="single" w:color="auto" w:sz="4" w:space="0"/>
              <w:right w:val="single" w:color="auto" w:sz="4" w:space="0"/>
            </w:tcBorders>
            <w:vAlign w:val="center"/>
          </w:tcPr>
          <w:p>
            <w:pPr>
              <w:widowControl/>
              <w:jc w:val="right"/>
              <w:rPr>
                <w:rFonts w:hint="eastAsia" w:ascii="宋体" w:hAnsi="宋体" w:cs="宋体"/>
                <w:kern w:val="0"/>
                <w:sz w:val="24"/>
                <w:lang w:val="en-US" w:eastAsia="zh-CN"/>
              </w:rPr>
            </w:pPr>
          </w:p>
        </w:tc>
        <w:tc>
          <w:tcPr>
            <w:tcW w:w="1134" w:type="dxa"/>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4"/>
                <w:lang w:val="en-US" w:eastAsia="zh-CN"/>
              </w:rPr>
            </w:pP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210</w:t>
            </w: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医疗卫生与计划生育支出</w:t>
            </w:r>
          </w:p>
        </w:tc>
        <w:tc>
          <w:tcPr>
            <w:tcW w:w="99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576.09</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201.01</w:t>
            </w:r>
            <w:r>
              <w:rPr>
                <w:rFonts w:hint="eastAsia" w:ascii="宋体" w:hAnsi="宋体" w:eastAsia="宋体" w:cs="宋体"/>
                <w:i w:val="0"/>
                <w:color w:val="000000"/>
                <w:kern w:val="0"/>
                <w:sz w:val="24"/>
                <w:szCs w:val="24"/>
                <w:u w:val="none"/>
                <w:lang w:val="en-US" w:eastAsia="zh-CN" w:bidi="ar"/>
              </w:rPr>
              <w:t xml:space="preserve">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cs="宋体"/>
                <w:kern w:val="0"/>
                <w:sz w:val="24"/>
                <w:lang w:val="en-US" w:eastAsia="zh-CN"/>
              </w:rPr>
            </w:pPr>
            <w:r>
              <w:rPr>
                <w:rFonts w:hint="eastAsia" w:ascii="宋体" w:hAnsi="宋体" w:cs="宋体"/>
                <w:i w:val="0"/>
                <w:color w:val="000000"/>
                <w:kern w:val="0"/>
                <w:sz w:val="24"/>
                <w:szCs w:val="24"/>
                <w:u w:val="none"/>
                <w:lang w:val="en-US" w:eastAsia="zh-CN" w:bidi="ar"/>
              </w:rPr>
              <w:t>375.08</w:t>
            </w:r>
            <w:r>
              <w:rPr>
                <w:rFonts w:hint="eastAsia" w:ascii="宋体" w:hAnsi="宋体" w:eastAsia="宋体" w:cs="宋体"/>
                <w:i w:val="0"/>
                <w:color w:val="000000"/>
                <w:kern w:val="0"/>
                <w:sz w:val="24"/>
                <w:szCs w:val="24"/>
                <w:u w:val="none"/>
                <w:lang w:val="en-US" w:eastAsia="zh-CN" w:bidi="ar"/>
              </w:rPr>
              <w:t xml:space="preserve"> </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cs="宋体"/>
                <w:kern w:val="0"/>
                <w:sz w:val="24"/>
                <w:lang w:val="en-US" w:eastAsia="zh-CN"/>
              </w:rPr>
            </w:pPr>
          </w:p>
        </w:tc>
        <w:tc>
          <w:tcPr>
            <w:tcW w:w="913" w:type="dxa"/>
            <w:tcBorders>
              <w:top w:val="nil"/>
              <w:left w:val="nil"/>
              <w:bottom w:val="single" w:color="auto" w:sz="4" w:space="0"/>
              <w:right w:val="single" w:color="auto" w:sz="4" w:space="0"/>
            </w:tcBorders>
            <w:vAlign w:val="center"/>
          </w:tcPr>
          <w:p>
            <w:pPr>
              <w:widowControl/>
              <w:jc w:val="right"/>
              <w:rPr>
                <w:rFonts w:hint="eastAsia" w:ascii="宋体" w:hAnsi="宋体" w:cs="宋体"/>
                <w:kern w:val="0"/>
                <w:sz w:val="24"/>
                <w:lang w:val="en-US" w:eastAsia="zh-CN"/>
              </w:rPr>
            </w:pPr>
          </w:p>
        </w:tc>
        <w:tc>
          <w:tcPr>
            <w:tcW w:w="1134" w:type="dxa"/>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4"/>
                <w:lang w:val="en-US" w:eastAsia="zh-CN"/>
              </w:rPr>
            </w:pP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rPr>
              <w:t>21003</w:t>
            </w: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基层医疗卫生机构</w:t>
            </w:r>
          </w:p>
        </w:tc>
        <w:tc>
          <w:tcPr>
            <w:tcW w:w="99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223.70</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201.01</w:t>
            </w:r>
            <w:r>
              <w:rPr>
                <w:rFonts w:hint="eastAsia" w:ascii="宋体" w:hAnsi="宋体" w:eastAsia="宋体" w:cs="宋体"/>
                <w:i w:val="0"/>
                <w:color w:val="000000"/>
                <w:kern w:val="0"/>
                <w:sz w:val="24"/>
                <w:szCs w:val="24"/>
                <w:u w:val="none"/>
                <w:lang w:val="en-US" w:eastAsia="zh-CN" w:bidi="ar"/>
              </w:rPr>
              <w:t xml:space="preserve"> </w:t>
            </w:r>
          </w:p>
        </w:tc>
        <w:tc>
          <w:tcPr>
            <w:tcW w:w="1055" w:type="dxa"/>
            <w:tcBorders>
              <w:top w:val="nil"/>
              <w:left w:val="nil"/>
              <w:bottom w:val="single" w:color="auto" w:sz="4" w:space="0"/>
              <w:right w:val="single" w:color="auto" w:sz="4" w:space="0"/>
            </w:tcBorders>
            <w:vAlign w:val="center"/>
          </w:tcPr>
          <w:p>
            <w:pPr>
              <w:jc w:val="right"/>
              <w:rPr>
                <w:rFonts w:hint="eastAsia" w:ascii="宋体" w:hAnsi="宋体" w:cs="宋体"/>
                <w:kern w:val="0"/>
                <w:sz w:val="24"/>
                <w:lang w:val="en-US" w:eastAsia="zh-CN"/>
              </w:rPr>
            </w:pP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cs="宋体"/>
                <w:kern w:val="0"/>
                <w:sz w:val="24"/>
                <w:lang w:val="en-US" w:eastAsia="zh-CN"/>
              </w:rPr>
            </w:pPr>
          </w:p>
        </w:tc>
        <w:tc>
          <w:tcPr>
            <w:tcW w:w="913" w:type="dxa"/>
            <w:tcBorders>
              <w:top w:val="nil"/>
              <w:left w:val="nil"/>
              <w:bottom w:val="single" w:color="auto" w:sz="4" w:space="0"/>
              <w:right w:val="single" w:color="auto" w:sz="4" w:space="0"/>
            </w:tcBorders>
            <w:vAlign w:val="center"/>
          </w:tcPr>
          <w:p>
            <w:pPr>
              <w:widowControl/>
              <w:jc w:val="right"/>
              <w:rPr>
                <w:rFonts w:hint="eastAsia" w:ascii="宋体" w:hAnsi="宋体" w:cs="宋体"/>
                <w:kern w:val="0"/>
                <w:sz w:val="24"/>
                <w:lang w:val="en-US" w:eastAsia="zh-CN"/>
              </w:rPr>
            </w:pPr>
          </w:p>
        </w:tc>
        <w:tc>
          <w:tcPr>
            <w:tcW w:w="1134" w:type="dxa"/>
            <w:tcBorders>
              <w:top w:val="nil"/>
              <w:left w:val="nil"/>
              <w:bottom w:val="single" w:color="auto" w:sz="4" w:space="0"/>
              <w:right w:val="single" w:color="auto" w:sz="8" w:space="0"/>
            </w:tcBorders>
            <w:vAlign w:val="center"/>
          </w:tcPr>
          <w:p>
            <w:pPr>
              <w:widowControl/>
              <w:jc w:val="right"/>
              <w:rPr>
                <w:rFonts w:hint="eastAsia" w:ascii="宋体" w:hAnsi="宋体" w:cs="宋体"/>
                <w:kern w:val="0"/>
                <w:sz w:val="24"/>
                <w:lang w:val="en-US" w:eastAsia="zh-CN"/>
              </w:rPr>
            </w:pP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keepNext w:val="0"/>
              <w:keepLines w:val="0"/>
              <w:widowControl/>
              <w:suppressLineNumbers w:val="0"/>
              <w:jc w:val="center"/>
              <w:textAlignment w:val="center"/>
              <w:rPr>
                <w:rFonts w:ascii="宋体" w:hAnsi="宋体" w:cs="宋体"/>
                <w:kern w:val="0"/>
                <w:sz w:val="24"/>
              </w:rPr>
            </w:pPr>
            <w:r>
              <w:rPr>
                <w:rFonts w:hint="eastAsia" w:ascii="宋体" w:hAnsi="宋体" w:eastAsia="宋体" w:cs="宋体"/>
                <w:i w:val="0"/>
                <w:color w:val="000000"/>
                <w:kern w:val="0"/>
                <w:sz w:val="24"/>
                <w:szCs w:val="24"/>
                <w:u w:val="none"/>
                <w:lang w:val="en-US" w:eastAsia="zh-CN" w:bidi="ar"/>
              </w:rPr>
              <w:t xml:space="preserve">2100301 </w:t>
            </w: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城市社区卫生机构</w:t>
            </w:r>
          </w:p>
        </w:tc>
        <w:tc>
          <w:tcPr>
            <w:tcW w:w="99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lang w:val="en-US"/>
              </w:rPr>
            </w:pPr>
            <w:r>
              <w:rPr>
                <w:rFonts w:hint="eastAsia" w:ascii="宋体" w:hAnsi="宋体" w:cs="宋体"/>
                <w:i w:val="0"/>
                <w:color w:val="000000"/>
                <w:kern w:val="0"/>
                <w:sz w:val="24"/>
                <w:szCs w:val="24"/>
                <w:u w:val="none"/>
                <w:lang w:val="en-US" w:eastAsia="zh-CN" w:bidi="ar"/>
              </w:rPr>
              <w:t>201.01</w:t>
            </w:r>
          </w:p>
        </w:tc>
        <w:tc>
          <w:tcPr>
            <w:tcW w:w="956"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201.01</w:t>
            </w:r>
            <w:r>
              <w:rPr>
                <w:rFonts w:hint="eastAsia" w:ascii="宋体" w:hAnsi="宋体" w:eastAsia="宋体" w:cs="宋体"/>
                <w:i w:val="0"/>
                <w:color w:val="000000"/>
                <w:kern w:val="0"/>
                <w:sz w:val="24"/>
                <w:szCs w:val="24"/>
                <w:u w:val="none"/>
                <w:lang w:val="en-US" w:eastAsia="zh-CN" w:bidi="ar"/>
              </w:rPr>
              <w:t xml:space="preserve"> </w:t>
            </w:r>
          </w:p>
        </w:tc>
        <w:tc>
          <w:tcPr>
            <w:tcW w:w="1055" w:type="dxa"/>
            <w:tcBorders>
              <w:top w:val="nil"/>
              <w:left w:val="nil"/>
              <w:bottom w:val="single" w:color="auto" w:sz="4" w:space="0"/>
              <w:right w:val="single" w:color="auto" w:sz="4" w:space="0"/>
            </w:tcBorders>
            <w:vAlign w:val="center"/>
          </w:tcPr>
          <w:p>
            <w:pPr>
              <w:jc w:val="right"/>
              <w:rPr>
                <w:rFonts w:hint="eastAsia" w:ascii="宋体" w:hAnsi="宋体" w:eastAsia="宋体" w:cs="宋体"/>
                <w:kern w:val="0"/>
                <w:sz w:val="24"/>
                <w:lang w:val="en-US" w:eastAsia="zh-CN"/>
              </w:rPr>
            </w:pP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913"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1134"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24"/>
                <w:lang w:val="en-US" w:eastAsia="zh-CN"/>
              </w:rPr>
            </w:pP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keepNext w:val="0"/>
              <w:keepLines w:val="0"/>
              <w:widowControl/>
              <w:suppressLineNumbers w:val="0"/>
              <w:jc w:val="center"/>
              <w:textAlignment w:val="center"/>
              <w:rPr>
                <w:rFonts w:ascii="宋体" w:hAnsi="宋体" w:cs="宋体"/>
                <w:kern w:val="0"/>
                <w:sz w:val="24"/>
              </w:rPr>
            </w:pPr>
            <w:r>
              <w:rPr>
                <w:rFonts w:hint="eastAsia" w:ascii="宋体" w:hAnsi="宋体" w:eastAsia="宋体" w:cs="宋体"/>
                <w:i w:val="0"/>
                <w:color w:val="000000"/>
                <w:kern w:val="0"/>
                <w:sz w:val="24"/>
                <w:szCs w:val="24"/>
                <w:u w:val="none"/>
                <w:lang w:val="en-US" w:eastAsia="zh-CN" w:bidi="ar"/>
              </w:rPr>
              <w:t>2100399</w:t>
            </w: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其他基层医疗卫生机构支出</w:t>
            </w:r>
          </w:p>
        </w:tc>
        <w:tc>
          <w:tcPr>
            <w:tcW w:w="99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22.69</w:t>
            </w:r>
            <w:r>
              <w:rPr>
                <w:rFonts w:hint="eastAsia" w:ascii="宋体" w:hAnsi="宋体" w:eastAsia="宋体" w:cs="宋体"/>
                <w:i w:val="0"/>
                <w:color w:val="000000"/>
                <w:kern w:val="0"/>
                <w:sz w:val="24"/>
                <w:szCs w:val="24"/>
                <w:u w:val="none"/>
                <w:lang w:val="en-US" w:eastAsia="zh-CN" w:bidi="ar"/>
              </w:rPr>
              <w:t xml:space="preserve"> </w:t>
            </w:r>
          </w:p>
        </w:tc>
        <w:tc>
          <w:tcPr>
            <w:tcW w:w="956" w:type="dxa"/>
            <w:tcBorders>
              <w:top w:val="nil"/>
              <w:left w:val="nil"/>
              <w:bottom w:val="single" w:color="auto" w:sz="4" w:space="0"/>
              <w:right w:val="single" w:color="auto" w:sz="4" w:space="0"/>
            </w:tcBorders>
            <w:vAlign w:val="center"/>
          </w:tcPr>
          <w:p>
            <w:pPr>
              <w:jc w:val="right"/>
              <w:rPr>
                <w:rFonts w:hint="eastAsia" w:ascii="宋体" w:hAnsi="宋体" w:eastAsia="宋体" w:cs="宋体"/>
                <w:kern w:val="0"/>
                <w:sz w:val="24"/>
                <w:lang w:val="en-US" w:eastAsia="zh-CN"/>
              </w:rPr>
            </w:pP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22.69</w:t>
            </w:r>
            <w:r>
              <w:rPr>
                <w:rFonts w:hint="eastAsia" w:ascii="宋体" w:hAnsi="宋体" w:eastAsia="宋体" w:cs="宋体"/>
                <w:i w:val="0"/>
                <w:color w:val="000000"/>
                <w:kern w:val="0"/>
                <w:sz w:val="24"/>
                <w:szCs w:val="24"/>
                <w:u w:val="none"/>
                <w:lang w:val="en-US" w:eastAsia="zh-CN" w:bidi="ar"/>
              </w:rPr>
              <w:t xml:space="preserve"> </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913"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1134"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24"/>
                <w:lang w:val="en-US" w:eastAsia="zh-CN"/>
              </w:rPr>
            </w:pP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21004</w:t>
            </w: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i w:val="0"/>
                <w:color w:val="000000"/>
                <w:kern w:val="0"/>
                <w:sz w:val="20"/>
                <w:szCs w:val="20"/>
                <w:u w:val="none"/>
                <w:lang w:val="en-US" w:eastAsia="zh-CN" w:bidi="ar"/>
              </w:rPr>
              <w:t>公共卫生</w:t>
            </w:r>
          </w:p>
        </w:tc>
        <w:tc>
          <w:tcPr>
            <w:tcW w:w="99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352.39</w:t>
            </w:r>
          </w:p>
        </w:tc>
        <w:tc>
          <w:tcPr>
            <w:tcW w:w="956" w:type="dxa"/>
            <w:tcBorders>
              <w:top w:val="nil"/>
              <w:left w:val="nil"/>
              <w:bottom w:val="single" w:color="auto" w:sz="4" w:space="0"/>
              <w:right w:val="single" w:color="auto" w:sz="4" w:space="0"/>
            </w:tcBorders>
            <w:vAlign w:val="center"/>
          </w:tcPr>
          <w:p>
            <w:pPr>
              <w:jc w:val="right"/>
              <w:rPr>
                <w:rFonts w:hint="eastAsia" w:ascii="宋体" w:hAnsi="宋体" w:eastAsia="宋体" w:cs="宋体"/>
                <w:kern w:val="0"/>
                <w:sz w:val="24"/>
                <w:lang w:val="en-US" w:eastAsia="zh-CN"/>
              </w:rPr>
            </w:pP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352.39</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913"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1134"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24"/>
                <w:lang w:val="en-US" w:eastAsia="zh-CN"/>
              </w:rPr>
            </w:pP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keepNext w:val="0"/>
              <w:keepLines w:val="0"/>
              <w:widowControl/>
              <w:suppressLineNumbers w:val="0"/>
              <w:jc w:val="center"/>
              <w:textAlignment w:val="center"/>
              <w:rPr>
                <w:rFonts w:ascii="宋体" w:hAnsi="宋体" w:cs="宋体"/>
                <w:kern w:val="0"/>
                <w:sz w:val="24"/>
              </w:rPr>
            </w:pPr>
            <w:r>
              <w:rPr>
                <w:rFonts w:hint="eastAsia" w:ascii="宋体" w:hAnsi="宋体" w:eastAsia="宋体" w:cs="宋体"/>
                <w:i w:val="0"/>
                <w:color w:val="000000"/>
                <w:kern w:val="0"/>
                <w:sz w:val="24"/>
                <w:szCs w:val="24"/>
                <w:u w:val="none"/>
                <w:lang w:val="en-US" w:eastAsia="zh-CN" w:bidi="ar"/>
              </w:rPr>
              <w:t xml:space="preserve">2100408 </w:t>
            </w: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基本公共卫生服务</w:t>
            </w:r>
          </w:p>
        </w:tc>
        <w:tc>
          <w:tcPr>
            <w:tcW w:w="992"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352.39</w:t>
            </w:r>
          </w:p>
        </w:tc>
        <w:tc>
          <w:tcPr>
            <w:tcW w:w="956" w:type="dxa"/>
            <w:tcBorders>
              <w:top w:val="nil"/>
              <w:left w:val="nil"/>
              <w:bottom w:val="single" w:color="auto" w:sz="4" w:space="0"/>
              <w:right w:val="single" w:color="auto" w:sz="4" w:space="0"/>
            </w:tcBorders>
            <w:vAlign w:val="center"/>
          </w:tcPr>
          <w:p>
            <w:pPr>
              <w:jc w:val="right"/>
              <w:rPr>
                <w:rFonts w:hint="eastAsia" w:ascii="宋体" w:hAnsi="宋体" w:eastAsia="宋体" w:cs="宋体"/>
                <w:kern w:val="0"/>
                <w:sz w:val="24"/>
                <w:lang w:val="en-US" w:eastAsia="zh-CN"/>
              </w:rPr>
            </w:pP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352.39</w:t>
            </w:r>
          </w:p>
        </w:tc>
        <w:tc>
          <w:tcPr>
            <w:tcW w:w="992"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913" w:type="dxa"/>
            <w:tcBorders>
              <w:top w:val="nil"/>
              <w:left w:val="nil"/>
              <w:bottom w:val="single" w:color="auto" w:sz="4" w:space="0"/>
              <w:right w:val="single" w:color="auto" w:sz="4" w:space="0"/>
            </w:tcBorders>
            <w:vAlign w:val="center"/>
          </w:tcPr>
          <w:p>
            <w:pPr>
              <w:widowControl/>
              <w:jc w:val="right"/>
              <w:rPr>
                <w:rFonts w:hint="eastAsia" w:ascii="宋体" w:hAnsi="宋体" w:eastAsia="宋体" w:cs="宋体"/>
                <w:kern w:val="0"/>
                <w:sz w:val="24"/>
                <w:lang w:val="en-US" w:eastAsia="zh-CN"/>
              </w:rPr>
            </w:pPr>
          </w:p>
        </w:tc>
        <w:tc>
          <w:tcPr>
            <w:tcW w:w="1134" w:type="dxa"/>
            <w:tcBorders>
              <w:top w:val="nil"/>
              <w:left w:val="nil"/>
              <w:bottom w:val="single" w:color="auto" w:sz="4" w:space="0"/>
              <w:right w:val="single" w:color="auto" w:sz="8" w:space="0"/>
            </w:tcBorders>
            <w:vAlign w:val="center"/>
          </w:tcPr>
          <w:p>
            <w:pPr>
              <w:widowControl/>
              <w:jc w:val="right"/>
              <w:rPr>
                <w:rFonts w:hint="eastAsia" w:ascii="宋体" w:hAnsi="宋体" w:eastAsia="宋体" w:cs="宋体"/>
                <w:kern w:val="0"/>
                <w:sz w:val="24"/>
                <w:lang w:val="en-US" w:eastAsia="zh-CN"/>
              </w:rPr>
            </w:pP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0"/>
                <w:szCs w:val="20"/>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95" w:type="dxa"/>
            <w:tcBorders>
              <w:top w:val="single" w:color="auto" w:sz="4" w:space="0"/>
              <w:left w:val="single" w:color="auto" w:sz="8" w:space="0"/>
              <w:bottom w:val="single" w:color="auto" w:sz="4" w:space="0"/>
              <w:right w:val="nil"/>
            </w:tcBorders>
            <w:shd w:val="clear" w:color="auto" w:fill="FFFFFF"/>
            <w:vAlign w:val="center"/>
          </w:tcPr>
          <w:p>
            <w:pPr>
              <w:widowControl/>
              <w:jc w:val="left"/>
              <w:rPr>
                <w:rFonts w:ascii="宋体" w:hAnsi="宋体" w:cs="宋体"/>
                <w:kern w:val="0"/>
                <w:sz w:val="24"/>
              </w:rPr>
            </w:pPr>
          </w:p>
        </w:tc>
        <w:tc>
          <w:tcPr>
            <w:tcW w:w="2039" w:type="dxa"/>
            <w:gridSpan w:val="2"/>
            <w:tcBorders>
              <w:top w:val="nil"/>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0"/>
                <w:szCs w:val="20"/>
              </w:rPr>
            </w:pP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56"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055"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92"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913" w:type="dxa"/>
            <w:tcBorders>
              <w:top w:val="nil"/>
              <w:left w:val="nil"/>
              <w:bottom w:val="single" w:color="auto" w:sz="4" w:space="0"/>
              <w:right w:val="single" w:color="auto" w:sz="4" w:space="0"/>
            </w:tcBorders>
            <w:vAlign w:val="center"/>
          </w:tcPr>
          <w:p>
            <w:pPr>
              <w:widowControl/>
              <w:jc w:val="right"/>
              <w:rPr>
                <w:rFonts w:ascii="宋体" w:hAnsi="宋体" w:cs="宋体"/>
                <w:kern w:val="0"/>
                <w:sz w:val="24"/>
              </w:rPr>
            </w:pPr>
            <w:r>
              <w:rPr>
                <w:rFonts w:hint="eastAsia" w:ascii="宋体" w:hAnsi="宋体" w:cs="宋体"/>
                <w:kern w:val="0"/>
                <w:sz w:val="24"/>
              </w:rPr>
              <w:t>　</w:t>
            </w:r>
          </w:p>
        </w:tc>
        <w:tc>
          <w:tcPr>
            <w:tcW w:w="1134" w:type="dxa"/>
            <w:tcBorders>
              <w:top w:val="nil"/>
              <w:left w:val="nil"/>
              <w:bottom w:val="single" w:color="auto" w:sz="4" w:space="0"/>
              <w:right w:val="single" w:color="auto" w:sz="8" w:space="0"/>
            </w:tcBorders>
            <w:vAlign w:val="center"/>
          </w:tcPr>
          <w:p>
            <w:pPr>
              <w:widowControl/>
              <w:jc w:val="right"/>
              <w:rPr>
                <w:rFonts w:ascii="宋体" w:hAnsi="宋体" w:cs="宋体"/>
                <w:kern w:val="0"/>
                <w:sz w:val="24"/>
              </w:rPr>
            </w:pPr>
            <w:r>
              <w:rPr>
                <w:rFonts w:hint="eastAsia" w:ascii="宋体" w:hAnsi="宋体" w:cs="宋体"/>
                <w:kern w:val="0"/>
                <w:sz w:val="24"/>
              </w:rPr>
              <w:t>　</w:t>
            </w: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注：本表反映部门本年度各项支出情况。有关填表说明：</w:t>
      </w:r>
    </w:p>
    <w:p>
      <w:pPr>
        <w:spacing w:line="580" w:lineRule="exact"/>
        <w:rPr>
          <w:rFonts w:ascii="仿宋_GB2312" w:eastAsia="仿宋_GB2312"/>
          <w:sz w:val="26"/>
          <w:szCs w:val="26"/>
        </w:rPr>
      </w:pPr>
      <w:r>
        <w:rPr>
          <w:rFonts w:hint="eastAsia" w:ascii="仿宋_GB2312" w:eastAsia="仿宋_GB2312"/>
          <w:sz w:val="26"/>
          <w:szCs w:val="26"/>
        </w:rPr>
        <w:t>（1）本表数据填列当年决算数，以“万元”为金额单位，保留两位小数。</w:t>
      </w:r>
    </w:p>
    <w:p>
      <w:pPr>
        <w:spacing w:line="580" w:lineRule="exact"/>
        <w:rPr>
          <w:rFonts w:ascii="仿宋_GB2312" w:eastAsia="仿宋_GB2312"/>
          <w:sz w:val="26"/>
          <w:szCs w:val="26"/>
        </w:rPr>
      </w:pPr>
      <w:r>
        <w:rPr>
          <w:rFonts w:hint="eastAsia" w:ascii="仿宋_GB2312" w:hAnsi="宋体" w:eastAsia="仿宋_GB2312"/>
          <w:sz w:val="26"/>
          <w:szCs w:val="26"/>
        </w:rPr>
        <w:t>（2）</w:t>
      </w:r>
      <w:r>
        <w:rPr>
          <w:rFonts w:hint="eastAsia" w:ascii="仿宋_GB2312" w:eastAsia="仿宋_GB2312"/>
          <w:sz w:val="26"/>
          <w:szCs w:val="26"/>
        </w:rPr>
        <w:t>本表功能科目填列到项级支出科目，没有发生数的支出科目不用填列。</w:t>
      </w:r>
    </w:p>
    <w:p>
      <w:pPr>
        <w:spacing w:line="580" w:lineRule="exact"/>
        <w:rPr>
          <w:rFonts w:hint="eastAsia" w:ascii="仿宋_GB2312" w:eastAsia="仿宋_GB2312"/>
          <w:sz w:val="26"/>
          <w:szCs w:val="26"/>
        </w:rPr>
      </w:pPr>
      <w:r>
        <w:rPr>
          <w:rFonts w:hint="eastAsia" w:ascii="仿宋_GB2312" w:hAnsi="宋体" w:eastAsia="仿宋_GB2312"/>
          <w:sz w:val="26"/>
          <w:szCs w:val="26"/>
        </w:rPr>
        <w:t>（3）1栏=（2+3+4+5+6）栏。</w:t>
      </w:r>
    </w:p>
    <w:p>
      <w:pPr>
        <w:spacing w:line="360" w:lineRule="auto"/>
        <w:rPr>
          <w:rFonts w:ascii="仿宋_GB2312" w:eastAsia="仿宋_GB2312"/>
          <w:sz w:val="26"/>
          <w:szCs w:val="26"/>
        </w:rPr>
      </w:pPr>
      <w:r>
        <w:rPr>
          <w:rFonts w:hint="eastAsia" w:ascii="仿宋_GB2312" w:eastAsia="仿宋_GB2312"/>
          <w:sz w:val="26"/>
          <w:szCs w:val="26"/>
        </w:rPr>
        <w:t>（4）此表没有发生数据的，在合计行填“0”，并在该表下方附简要说明。</w:t>
      </w:r>
    </w:p>
    <w:p>
      <w:pPr>
        <w:spacing w:line="360" w:lineRule="auto"/>
        <w:rPr>
          <w:rFonts w:ascii="仿宋_GB2312" w:eastAsia="仿宋_GB2312"/>
          <w:sz w:val="26"/>
          <w:szCs w:val="26"/>
        </w:rPr>
      </w:pPr>
      <w:r>
        <w:rPr>
          <w:rFonts w:hint="eastAsia" w:ascii="仿宋_GB2312" w:eastAsia="仿宋_GB2312"/>
          <w:sz w:val="26"/>
          <w:szCs w:val="26"/>
        </w:rPr>
        <w:t>（5）该表数据来源于部门决算报表中的《支出决算表》（财决04表）。</w:t>
      </w:r>
    </w:p>
    <w:p>
      <w:pPr>
        <w:numPr>
          <w:ilvl w:val="0"/>
          <w:numId w:val="0"/>
        </w:numPr>
        <w:ind w:leftChars="0"/>
        <w:rPr>
          <w:rFonts w:hint="eastAsia" w:ascii="仿宋_GB2312" w:eastAsia="仿宋_GB2312"/>
          <w:sz w:val="28"/>
          <w:szCs w:val="28"/>
        </w:rPr>
      </w:pPr>
    </w:p>
    <w:p>
      <w:pPr>
        <w:spacing w:line="288" w:lineRule="auto"/>
        <w:ind w:firstLine="640" w:firstLineChars="200"/>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p>
      <w:pPr>
        <w:spacing w:line="288" w:lineRule="auto"/>
        <w:ind w:firstLine="400" w:firstLineChars="200"/>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公开04表</w:t>
      </w:r>
    </w:p>
    <w:p>
      <w:pPr>
        <w:spacing w:line="288" w:lineRule="auto"/>
        <w:ind w:firstLine="400" w:firstLineChars="200"/>
        <w:jc w:val="left"/>
        <w:rPr>
          <w:rFonts w:hint="eastAsia"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rPr>
        <w:t xml:space="preserve">罗定市罗城街道罗城社区卫生服务中心                              </w:t>
      </w:r>
      <w:r>
        <w:rPr>
          <w:rFonts w:hint="eastAsia" w:ascii="宋体" w:hAnsi="宋体" w:cs="宋体"/>
          <w:color w:val="000000"/>
          <w:kern w:val="0"/>
          <w:sz w:val="20"/>
          <w:szCs w:val="20"/>
        </w:rPr>
        <w:t>单位：万元</w:t>
      </w:r>
      <w:r>
        <w:rPr>
          <w:rFonts w:hint="eastAsia" w:ascii="宋体" w:hAnsi="宋体" w:cs="宋体"/>
          <w:color w:val="000000"/>
          <w:kern w:val="0"/>
          <w:sz w:val="20"/>
          <w:szCs w:val="20"/>
          <w:lang w:val="en-US" w:eastAsia="zh-CN"/>
        </w:rPr>
        <w:t xml:space="preserve">  </w:t>
      </w:r>
    </w:p>
    <w:tbl>
      <w:tblPr>
        <w:tblStyle w:val="6"/>
        <w:tblW w:w="9012" w:type="dxa"/>
        <w:tblInd w:w="91" w:type="dxa"/>
        <w:tblLayout w:type="fixed"/>
        <w:tblCellMar>
          <w:top w:w="0" w:type="dxa"/>
          <w:left w:w="108" w:type="dxa"/>
          <w:bottom w:w="0" w:type="dxa"/>
          <w:right w:w="108" w:type="dxa"/>
        </w:tblCellMar>
      </w:tblPr>
      <w:tblGrid>
        <w:gridCol w:w="2079"/>
        <w:gridCol w:w="516"/>
        <w:gridCol w:w="884"/>
        <w:gridCol w:w="1781"/>
        <w:gridCol w:w="619"/>
        <w:gridCol w:w="916"/>
        <w:gridCol w:w="1084"/>
        <w:gridCol w:w="1133"/>
      </w:tblGrid>
      <w:tr>
        <w:tblPrEx>
          <w:tblLayout w:type="fixed"/>
          <w:tblCellMar>
            <w:top w:w="0" w:type="dxa"/>
            <w:left w:w="108" w:type="dxa"/>
            <w:bottom w:w="0" w:type="dxa"/>
            <w:right w:w="108" w:type="dxa"/>
          </w:tblCellMar>
        </w:tblPrEx>
        <w:trPr>
          <w:trHeight w:val="402" w:hRule="atLeast"/>
          <w:tblHeader/>
        </w:trPr>
        <w:tc>
          <w:tcPr>
            <w:tcW w:w="347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收入</w:t>
            </w:r>
          </w:p>
        </w:tc>
        <w:tc>
          <w:tcPr>
            <w:tcW w:w="553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支出</w:t>
            </w:r>
          </w:p>
        </w:tc>
      </w:tr>
      <w:tr>
        <w:tblPrEx>
          <w:tblLayout w:type="fixed"/>
          <w:tblCellMar>
            <w:top w:w="0" w:type="dxa"/>
            <w:left w:w="108" w:type="dxa"/>
            <w:bottom w:w="0" w:type="dxa"/>
            <w:right w:w="108" w:type="dxa"/>
          </w:tblCellMar>
        </w:tblPrEx>
        <w:trPr>
          <w:trHeight w:val="630" w:hRule="atLeast"/>
          <w:tblHeader/>
        </w:trPr>
        <w:tc>
          <w:tcPr>
            <w:tcW w:w="207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884"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金额</w:t>
            </w:r>
          </w:p>
        </w:tc>
        <w:tc>
          <w:tcPr>
            <w:tcW w:w="1781"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项    目</w:t>
            </w:r>
          </w:p>
        </w:tc>
        <w:tc>
          <w:tcPr>
            <w:tcW w:w="61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行次</w:t>
            </w:r>
          </w:p>
        </w:tc>
        <w:tc>
          <w:tcPr>
            <w:tcW w:w="9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合计</w:t>
            </w:r>
          </w:p>
        </w:tc>
        <w:tc>
          <w:tcPr>
            <w:tcW w:w="1084"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一般公共预算财政拨款</w:t>
            </w:r>
          </w:p>
        </w:tc>
        <w:tc>
          <w:tcPr>
            <w:tcW w:w="113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政府性基金预算财政拨款</w:t>
            </w:r>
          </w:p>
        </w:tc>
      </w:tr>
      <w:tr>
        <w:tblPrEx>
          <w:tblLayout w:type="fixed"/>
          <w:tblCellMar>
            <w:top w:w="0" w:type="dxa"/>
            <w:left w:w="108" w:type="dxa"/>
            <w:bottom w:w="0" w:type="dxa"/>
            <w:right w:w="108" w:type="dxa"/>
          </w:tblCellMar>
        </w:tblPrEx>
        <w:trPr>
          <w:trHeight w:val="402" w:hRule="atLeast"/>
          <w:tblHeader/>
        </w:trPr>
        <w:tc>
          <w:tcPr>
            <w:tcW w:w="207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884"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1</w:t>
            </w:r>
          </w:p>
        </w:tc>
        <w:tc>
          <w:tcPr>
            <w:tcW w:w="1781"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栏    次</w:t>
            </w:r>
          </w:p>
        </w:tc>
        <w:tc>
          <w:tcPr>
            <w:tcW w:w="61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　</w:t>
            </w:r>
          </w:p>
        </w:tc>
        <w:tc>
          <w:tcPr>
            <w:tcW w:w="9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2</w:t>
            </w:r>
          </w:p>
        </w:tc>
        <w:tc>
          <w:tcPr>
            <w:tcW w:w="1084"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3</w:t>
            </w:r>
          </w:p>
        </w:tc>
        <w:tc>
          <w:tcPr>
            <w:tcW w:w="1133"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4"/>
              </w:rPr>
            </w:pPr>
            <w:r>
              <w:rPr>
                <w:rFonts w:hint="eastAsia" w:ascii="宋体" w:hAnsi="宋体" w:cs="宋体"/>
                <w:kern w:val="0"/>
                <w:sz w:val="24"/>
              </w:rPr>
              <w:t>4</w:t>
            </w: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一、一般公共预算财政拨款</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8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576.09</w:t>
            </w:r>
            <w:r>
              <w:rPr>
                <w:rFonts w:hint="eastAsia" w:ascii="宋体" w:hAnsi="宋体" w:eastAsia="宋体" w:cs="宋体"/>
                <w:i w:val="0"/>
                <w:color w:val="000000"/>
                <w:kern w:val="0"/>
                <w:sz w:val="22"/>
                <w:szCs w:val="22"/>
                <w:u w:val="none"/>
                <w:lang w:val="en-US" w:eastAsia="zh-CN" w:bidi="ar"/>
              </w:rPr>
              <w:t xml:space="preserve"> </w:t>
            </w:r>
          </w:p>
        </w:tc>
        <w:tc>
          <w:tcPr>
            <w:tcW w:w="1781"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一、一般公共服务支出</w:t>
            </w:r>
          </w:p>
        </w:tc>
        <w:tc>
          <w:tcPr>
            <w:tcW w:w="61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084"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二、政府性基金预算财政拨款</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781"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二、外交支出</w:t>
            </w:r>
          </w:p>
        </w:tc>
        <w:tc>
          <w:tcPr>
            <w:tcW w:w="61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16</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084"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781"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三、国防支出</w:t>
            </w:r>
          </w:p>
        </w:tc>
        <w:tc>
          <w:tcPr>
            <w:tcW w:w="61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17</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084"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781"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四、公共安全支出</w:t>
            </w:r>
          </w:p>
        </w:tc>
        <w:tc>
          <w:tcPr>
            <w:tcW w:w="61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18</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084"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781"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五、教育支出</w:t>
            </w:r>
          </w:p>
        </w:tc>
        <w:tc>
          <w:tcPr>
            <w:tcW w:w="61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19</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084"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781" w:type="dxa"/>
            <w:tcBorders>
              <w:top w:val="single" w:color="auto" w:sz="4" w:space="0"/>
              <w:left w:val="nil"/>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六、科学技术支出</w:t>
            </w:r>
          </w:p>
        </w:tc>
        <w:tc>
          <w:tcPr>
            <w:tcW w:w="61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084"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781"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w:t>
            </w:r>
          </w:p>
        </w:tc>
        <w:tc>
          <w:tcPr>
            <w:tcW w:w="619"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21</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084"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jc w:val="right"/>
              <w:rPr>
                <w:rFonts w:ascii="宋体" w:hAnsi="宋体" w:cs="宋体"/>
                <w:kern w:val="0"/>
                <w:sz w:val="22"/>
                <w:szCs w:val="22"/>
              </w:rPr>
            </w:pP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1781"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cs="宋体"/>
                <w:kern w:val="0"/>
                <w:sz w:val="22"/>
                <w:szCs w:val="22"/>
              </w:rPr>
            </w:pPr>
            <w:r>
              <w:rPr>
                <w:rFonts w:hint="eastAsia" w:ascii="宋体" w:hAnsi="宋体" w:eastAsia="宋体" w:cs="宋体"/>
                <w:i w:val="0"/>
                <w:color w:val="000000"/>
                <w:kern w:val="0"/>
                <w:sz w:val="22"/>
                <w:szCs w:val="22"/>
                <w:u w:val="none"/>
                <w:lang w:val="en-US" w:eastAsia="zh-CN" w:bidi="ar"/>
              </w:rPr>
              <w:t>九、医疗卫生与计划生育支出</w:t>
            </w:r>
          </w:p>
        </w:tc>
        <w:tc>
          <w:tcPr>
            <w:tcW w:w="61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22</w:t>
            </w:r>
          </w:p>
        </w:tc>
        <w:tc>
          <w:tcPr>
            <w:tcW w:w="916"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right"/>
              <w:textAlignment w:val="center"/>
              <w:rPr>
                <w:rFonts w:ascii="宋体" w:hAnsi="宋体" w:cs="宋体"/>
                <w:kern w:val="0"/>
                <w:sz w:val="22"/>
                <w:szCs w:val="22"/>
                <w:lang w:val="en-US"/>
              </w:rPr>
            </w:pPr>
            <w:r>
              <w:rPr>
                <w:rFonts w:hint="eastAsia" w:ascii="宋体" w:hAnsi="宋体" w:cs="宋体"/>
                <w:i w:val="0"/>
                <w:color w:val="000000"/>
                <w:kern w:val="0"/>
                <w:sz w:val="22"/>
                <w:szCs w:val="22"/>
                <w:u w:val="none"/>
                <w:lang w:val="en-US" w:eastAsia="zh-CN" w:bidi="ar"/>
              </w:rPr>
              <w:t>576.09</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576.09</w:t>
            </w:r>
            <w:r>
              <w:rPr>
                <w:rFonts w:hint="eastAsia" w:ascii="宋体" w:hAnsi="宋体" w:eastAsia="宋体" w:cs="宋体"/>
                <w:i w:val="0"/>
                <w:color w:val="000000"/>
                <w:kern w:val="0"/>
                <w:sz w:val="22"/>
                <w:szCs w:val="22"/>
                <w:u w:val="none"/>
                <w:lang w:val="en-US" w:eastAsia="zh-CN" w:bidi="ar"/>
              </w:rPr>
              <w:t xml:space="preserve"> </w:t>
            </w:r>
          </w:p>
        </w:tc>
        <w:tc>
          <w:tcPr>
            <w:tcW w:w="113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　</w:t>
            </w:r>
            <w:r>
              <w:rPr>
                <w:rFonts w:hint="eastAsia" w:ascii="宋体" w:hAnsi="宋体" w:cs="宋体"/>
                <w:kern w:val="0"/>
                <w:sz w:val="22"/>
                <w:szCs w:val="22"/>
                <w:lang w:val="en-US" w:eastAsia="zh-CN"/>
              </w:rPr>
              <w:t>0</w:t>
            </w: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本年收入合计</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8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576.09</w:t>
            </w:r>
            <w:r>
              <w:rPr>
                <w:rFonts w:hint="eastAsia" w:ascii="宋体" w:hAnsi="宋体" w:eastAsia="宋体" w:cs="宋体"/>
                <w:i w:val="0"/>
                <w:color w:val="000000"/>
                <w:kern w:val="0"/>
                <w:sz w:val="22"/>
                <w:szCs w:val="22"/>
                <w:u w:val="none"/>
                <w:lang w:val="en-US" w:eastAsia="zh-CN" w:bidi="ar"/>
              </w:rPr>
              <w:t xml:space="preserve"> </w:t>
            </w:r>
          </w:p>
        </w:tc>
        <w:tc>
          <w:tcPr>
            <w:tcW w:w="1781"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本年支出合计</w:t>
            </w:r>
          </w:p>
        </w:tc>
        <w:tc>
          <w:tcPr>
            <w:tcW w:w="61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23</w:t>
            </w:r>
          </w:p>
        </w:tc>
        <w:tc>
          <w:tcPr>
            <w:tcW w:w="916"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right"/>
              <w:textAlignment w:val="center"/>
              <w:rPr>
                <w:rFonts w:ascii="宋体" w:hAnsi="宋体" w:cs="宋体"/>
                <w:kern w:val="0"/>
                <w:sz w:val="22"/>
                <w:szCs w:val="22"/>
                <w:lang w:val="en-US"/>
              </w:rPr>
            </w:pPr>
            <w:r>
              <w:rPr>
                <w:rFonts w:hint="eastAsia" w:ascii="宋体" w:hAnsi="宋体" w:cs="宋体"/>
                <w:i w:val="0"/>
                <w:color w:val="000000"/>
                <w:kern w:val="0"/>
                <w:sz w:val="22"/>
                <w:szCs w:val="22"/>
                <w:u w:val="none"/>
                <w:lang w:val="en-US" w:eastAsia="zh-CN" w:bidi="ar"/>
              </w:rPr>
              <w:t>576.09</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szCs w:val="22"/>
                <w:lang w:val="en-US" w:eastAsia="zh-CN"/>
              </w:rPr>
            </w:pPr>
            <w:r>
              <w:rPr>
                <w:rFonts w:hint="eastAsia" w:ascii="宋体" w:hAnsi="宋体" w:cs="宋体"/>
                <w:kern w:val="0"/>
                <w:sz w:val="22"/>
                <w:szCs w:val="22"/>
                <w:lang w:val="en-US" w:eastAsia="zh-CN"/>
              </w:rPr>
              <w:t>576.09</w:t>
            </w:r>
          </w:p>
        </w:tc>
        <w:tc>
          <w:tcPr>
            <w:tcW w:w="113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r>
              <w:rPr>
                <w:rFonts w:hint="eastAsia" w:ascii="宋体" w:hAnsi="宋体" w:cs="宋体"/>
                <w:b/>
                <w:bCs/>
                <w:kern w:val="0"/>
                <w:sz w:val="22"/>
                <w:szCs w:val="22"/>
                <w:lang w:val="en-US" w:eastAsia="zh-CN"/>
              </w:rPr>
              <w:t>0</w:t>
            </w: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年初财政拨款结转和结余</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p>
        </w:tc>
        <w:tc>
          <w:tcPr>
            <w:tcW w:w="1781" w:type="dxa"/>
            <w:tcBorders>
              <w:top w:val="single" w:color="auto" w:sz="4" w:space="0"/>
              <w:left w:val="nil"/>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年末结转和结余</w:t>
            </w:r>
          </w:p>
        </w:tc>
        <w:tc>
          <w:tcPr>
            <w:tcW w:w="61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24</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p>
        </w:tc>
        <w:tc>
          <w:tcPr>
            <w:tcW w:w="10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p>
        </w:tc>
        <w:tc>
          <w:tcPr>
            <w:tcW w:w="113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一般公共预算财政拨款</w:t>
            </w:r>
          </w:p>
        </w:tc>
        <w:tc>
          <w:tcPr>
            <w:tcW w:w="516" w:type="dxa"/>
            <w:tcBorders>
              <w:top w:val="single" w:color="auto" w:sz="4" w:space="0"/>
              <w:left w:val="nil"/>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p>
        </w:tc>
        <w:tc>
          <w:tcPr>
            <w:tcW w:w="1781"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61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25</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3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政府性基金预算财政拨款</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p>
        </w:tc>
        <w:tc>
          <w:tcPr>
            <w:tcW w:w="1781"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61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26</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3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380" w:hRule="atLeast"/>
        </w:trPr>
        <w:tc>
          <w:tcPr>
            <w:tcW w:w="2079" w:type="dxa"/>
            <w:tcBorders>
              <w:top w:val="single" w:color="auto" w:sz="4" w:space="0"/>
              <w:left w:val="single" w:color="auto" w:sz="4" w:space="0"/>
              <w:bottom w:val="single" w:color="auto" w:sz="4" w:space="0"/>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13</w:t>
            </w:r>
          </w:p>
        </w:tc>
        <w:tc>
          <w:tcPr>
            <w:tcW w:w="884" w:type="dxa"/>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2"/>
                <w:szCs w:val="22"/>
              </w:rPr>
            </w:pPr>
            <w:r>
              <w:rPr>
                <w:rFonts w:hint="eastAsia" w:ascii="宋体" w:hAnsi="宋体" w:cs="宋体"/>
                <w:kern w:val="0"/>
                <w:sz w:val="22"/>
                <w:szCs w:val="22"/>
              </w:rPr>
              <w:t>　</w:t>
            </w:r>
          </w:p>
        </w:tc>
        <w:tc>
          <w:tcPr>
            <w:tcW w:w="1781"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c>
          <w:tcPr>
            <w:tcW w:w="61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27</w:t>
            </w:r>
          </w:p>
        </w:tc>
        <w:tc>
          <w:tcPr>
            <w:tcW w:w="916"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084"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13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2"/>
                <w:szCs w:val="22"/>
              </w:rPr>
            </w:pPr>
            <w:r>
              <w:rPr>
                <w:rFonts w:hint="eastAsia" w:ascii="宋体" w:hAnsi="宋体" w:cs="宋体"/>
                <w:kern w:val="0"/>
                <w:sz w:val="22"/>
                <w:szCs w:val="22"/>
              </w:rPr>
              <w:t>　</w:t>
            </w:r>
          </w:p>
        </w:tc>
      </w:tr>
      <w:tr>
        <w:tblPrEx>
          <w:tblLayout w:type="fixed"/>
          <w:tblCellMar>
            <w:top w:w="0" w:type="dxa"/>
            <w:left w:w="108" w:type="dxa"/>
            <w:bottom w:w="0" w:type="dxa"/>
            <w:right w:w="108" w:type="dxa"/>
          </w:tblCellMar>
        </w:tblPrEx>
        <w:trPr>
          <w:trHeight w:val="402" w:hRule="atLeast"/>
        </w:trPr>
        <w:tc>
          <w:tcPr>
            <w:tcW w:w="2079" w:type="dxa"/>
            <w:tcBorders>
              <w:top w:val="single" w:color="auto" w:sz="4" w:space="0"/>
              <w:left w:val="single" w:color="auto" w:sz="4" w:space="0"/>
              <w:bottom w:val="single" w:color="auto" w:sz="4"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14</w:t>
            </w:r>
          </w:p>
        </w:tc>
        <w:tc>
          <w:tcPr>
            <w:tcW w:w="8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576.09</w:t>
            </w:r>
          </w:p>
        </w:tc>
        <w:tc>
          <w:tcPr>
            <w:tcW w:w="1781" w:type="dxa"/>
            <w:tcBorders>
              <w:top w:val="single" w:color="auto" w:sz="4" w:space="0"/>
              <w:left w:val="nil"/>
              <w:bottom w:val="single" w:color="auto" w:sz="4" w:space="0"/>
              <w:right w:val="nil"/>
            </w:tcBorders>
            <w:shd w:val="clear" w:color="auto" w:fill="FFFFFF"/>
            <w:vAlign w:val="center"/>
          </w:tcPr>
          <w:p>
            <w:pPr>
              <w:widowControl/>
              <w:jc w:val="center"/>
              <w:rPr>
                <w:rFonts w:ascii="宋体" w:hAnsi="宋体" w:cs="宋体"/>
                <w:b/>
                <w:bCs/>
                <w:kern w:val="0"/>
                <w:sz w:val="22"/>
                <w:szCs w:val="22"/>
              </w:rPr>
            </w:pPr>
            <w:r>
              <w:rPr>
                <w:rFonts w:hint="eastAsia" w:ascii="宋体" w:hAnsi="宋体" w:cs="宋体"/>
                <w:b/>
                <w:bCs/>
                <w:kern w:val="0"/>
                <w:sz w:val="22"/>
                <w:szCs w:val="22"/>
              </w:rPr>
              <w:t>总计</w:t>
            </w:r>
          </w:p>
        </w:tc>
        <w:tc>
          <w:tcPr>
            <w:tcW w:w="619"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rPr>
                <w:rFonts w:ascii="宋体" w:hAnsi="宋体" w:cs="宋体"/>
                <w:kern w:val="0"/>
                <w:sz w:val="22"/>
                <w:szCs w:val="22"/>
              </w:rPr>
            </w:pPr>
            <w:r>
              <w:rPr>
                <w:rFonts w:hint="eastAsia" w:ascii="宋体" w:hAnsi="宋体" w:cs="宋体"/>
                <w:kern w:val="0"/>
                <w:sz w:val="22"/>
                <w:szCs w:val="22"/>
              </w:rPr>
              <w:t>28</w:t>
            </w:r>
          </w:p>
        </w:tc>
        <w:tc>
          <w:tcPr>
            <w:tcW w:w="916"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right"/>
              <w:textAlignment w:val="center"/>
              <w:rPr>
                <w:rFonts w:ascii="宋体" w:hAnsi="宋体" w:cs="宋体"/>
                <w:kern w:val="0"/>
                <w:sz w:val="22"/>
                <w:szCs w:val="22"/>
                <w:lang w:val="en-US"/>
              </w:rPr>
            </w:pPr>
            <w:r>
              <w:rPr>
                <w:rFonts w:hint="eastAsia" w:ascii="宋体" w:hAnsi="宋体" w:cs="宋体"/>
                <w:i w:val="0"/>
                <w:color w:val="000000"/>
                <w:kern w:val="0"/>
                <w:sz w:val="22"/>
                <w:szCs w:val="22"/>
                <w:u w:val="none"/>
                <w:lang w:val="en-US" w:eastAsia="zh-CN" w:bidi="ar"/>
              </w:rPr>
              <w:t>576.09</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cs="宋体"/>
                <w:kern w:val="0"/>
                <w:sz w:val="22"/>
                <w:szCs w:val="22"/>
              </w:rPr>
            </w:pPr>
            <w:r>
              <w:rPr>
                <w:rFonts w:hint="eastAsia" w:ascii="宋体" w:hAnsi="宋体" w:cs="宋体"/>
                <w:i w:val="0"/>
                <w:color w:val="000000"/>
                <w:kern w:val="0"/>
                <w:sz w:val="22"/>
                <w:szCs w:val="22"/>
                <w:u w:val="none"/>
                <w:lang w:val="en-US" w:eastAsia="zh-CN" w:bidi="ar"/>
              </w:rPr>
              <w:t>576.09</w:t>
            </w:r>
            <w:r>
              <w:rPr>
                <w:rFonts w:hint="eastAsia" w:ascii="宋体" w:hAnsi="宋体" w:eastAsia="宋体" w:cs="宋体"/>
                <w:i w:val="0"/>
                <w:color w:val="000000"/>
                <w:kern w:val="0"/>
                <w:sz w:val="22"/>
                <w:szCs w:val="22"/>
                <w:u w:val="none"/>
                <w:lang w:val="en-US" w:eastAsia="zh-CN" w:bidi="ar"/>
              </w:rPr>
              <w:t xml:space="preserve"> </w:t>
            </w:r>
          </w:p>
        </w:tc>
        <w:tc>
          <w:tcPr>
            <w:tcW w:w="113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b/>
                <w:bCs/>
                <w:kern w:val="0"/>
                <w:sz w:val="22"/>
                <w:szCs w:val="22"/>
              </w:rPr>
            </w:pPr>
            <w:r>
              <w:rPr>
                <w:rFonts w:hint="eastAsia" w:ascii="宋体" w:hAnsi="宋体" w:cs="宋体"/>
                <w:b/>
                <w:bCs/>
                <w:kern w:val="0"/>
                <w:sz w:val="22"/>
                <w:szCs w:val="22"/>
              </w:rPr>
              <w:t>　</w:t>
            </w:r>
            <w:r>
              <w:rPr>
                <w:rFonts w:hint="eastAsia" w:ascii="宋体" w:hAnsi="宋体" w:cs="宋体"/>
                <w:b/>
                <w:bCs/>
                <w:kern w:val="0"/>
                <w:sz w:val="22"/>
                <w:szCs w:val="22"/>
                <w:lang w:val="en-US" w:eastAsia="zh-CN"/>
              </w:rPr>
              <w:t>0</w:t>
            </w:r>
          </w:p>
        </w:tc>
      </w:tr>
    </w:tbl>
    <w:p>
      <w:pPr>
        <w:spacing w:line="288" w:lineRule="auto"/>
        <w:rPr>
          <w:rFonts w:hint="eastAsia" w:ascii="仿宋_GB2312" w:eastAsia="仿宋_GB2312"/>
          <w:sz w:val="28"/>
          <w:szCs w:val="28"/>
        </w:rPr>
      </w:pPr>
      <w:r>
        <w:rPr>
          <w:rFonts w:hint="eastAsia" w:ascii="仿宋_GB2312" w:eastAsia="仿宋_GB2312"/>
          <w:sz w:val="28"/>
          <w:szCs w:val="28"/>
        </w:rPr>
        <w:t>注：本表反映部门本年度财政拨款的总收支和年末结转结余情况。有关填表说明：</w:t>
      </w:r>
    </w:p>
    <w:p>
      <w:pPr>
        <w:spacing w:line="288" w:lineRule="auto"/>
        <w:rPr>
          <w:rFonts w:hint="eastAsia" w:ascii="仿宋_GB2312" w:eastAsia="仿宋_GB2312"/>
          <w:sz w:val="28"/>
          <w:szCs w:val="28"/>
        </w:rPr>
      </w:pPr>
    </w:p>
    <w:p>
      <w:pPr>
        <w:spacing w:line="288" w:lineRule="auto"/>
        <w:rPr>
          <w:rFonts w:hint="eastAsia" w:ascii="仿宋_GB2312" w:eastAsia="仿宋_GB2312"/>
          <w:sz w:val="28"/>
          <w:szCs w:val="28"/>
        </w:rPr>
      </w:pPr>
    </w:p>
    <w:p>
      <w:pPr>
        <w:spacing w:line="288" w:lineRule="auto"/>
        <w:rPr>
          <w:rFonts w:ascii="仿宋_GB2312" w:eastAsia="仿宋_GB2312"/>
          <w:sz w:val="28"/>
          <w:szCs w:val="28"/>
        </w:rPr>
      </w:pPr>
      <w:r>
        <w:rPr>
          <w:rFonts w:hint="eastAsia" w:ascii="仿宋_GB2312" w:eastAsia="仿宋_GB2312"/>
          <w:sz w:val="28"/>
          <w:szCs w:val="28"/>
        </w:rPr>
        <w:t>（1）本表数据填列当年决算数，以“万元”为金额单位，保留两位小数。</w:t>
      </w:r>
    </w:p>
    <w:p>
      <w:pPr>
        <w:spacing w:line="580" w:lineRule="exact"/>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rPr>
        <w:t>本表支出项目填列到类级支出科目，没有发生数的类级支出科目不用填列。</w:t>
      </w:r>
    </w:p>
    <w:p>
      <w:pPr>
        <w:spacing w:line="580" w:lineRule="exact"/>
        <w:rPr>
          <w:rFonts w:ascii="仿宋_GB2312" w:hAnsi="宋体" w:eastAsia="仿宋_GB2312"/>
          <w:sz w:val="28"/>
          <w:szCs w:val="28"/>
        </w:rPr>
      </w:pPr>
      <w:r>
        <w:rPr>
          <w:rFonts w:hint="eastAsia" w:ascii="仿宋_GB2312" w:hAnsi="宋体" w:eastAsia="仿宋_GB2312"/>
          <w:sz w:val="28"/>
          <w:szCs w:val="28"/>
        </w:rPr>
        <w:t>（3）收入总计数应等于支出总计数。</w:t>
      </w:r>
    </w:p>
    <w:p>
      <w:pPr>
        <w:spacing w:line="360" w:lineRule="auto"/>
        <w:rPr>
          <w:rFonts w:ascii="仿宋_GB2312" w:eastAsia="仿宋_GB2312"/>
          <w:sz w:val="28"/>
          <w:szCs w:val="28"/>
        </w:rPr>
      </w:pPr>
      <w:r>
        <w:rPr>
          <w:rFonts w:hint="eastAsia" w:ascii="仿宋_GB2312" w:eastAsia="仿宋_GB2312"/>
          <w:sz w:val="28"/>
          <w:szCs w:val="28"/>
        </w:rPr>
        <w:t>（4）此表没有发生数据的，在合计栏填“0”，并在该表下方附简要说明。</w:t>
      </w:r>
    </w:p>
    <w:p>
      <w:pPr>
        <w:spacing w:line="360" w:lineRule="auto"/>
        <w:rPr>
          <w:rFonts w:ascii="仿宋_GB2312" w:eastAsia="仿宋_GB2312"/>
          <w:sz w:val="28"/>
          <w:szCs w:val="28"/>
        </w:rPr>
      </w:pPr>
      <w:r>
        <w:rPr>
          <w:rFonts w:hint="eastAsia" w:ascii="仿宋_GB2312" w:eastAsia="仿宋_GB2312"/>
          <w:sz w:val="28"/>
          <w:szCs w:val="28"/>
        </w:rPr>
        <w:t>（5）该表数据来源于部门决算报表中的《财政拨款收入支出决算总表》（财决01-1表）。</w:t>
      </w: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tbl>
      <w:tblPr>
        <w:tblStyle w:val="6"/>
        <w:tblW w:w="8946" w:type="dxa"/>
        <w:tblInd w:w="93" w:type="dxa"/>
        <w:tblLayout w:type="fixed"/>
        <w:tblCellMar>
          <w:top w:w="0" w:type="dxa"/>
          <w:left w:w="108" w:type="dxa"/>
          <w:bottom w:w="0" w:type="dxa"/>
          <w:right w:w="108" w:type="dxa"/>
        </w:tblCellMar>
      </w:tblPr>
      <w:tblGrid>
        <w:gridCol w:w="560"/>
        <w:gridCol w:w="560"/>
        <w:gridCol w:w="1872"/>
        <w:gridCol w:w="1985"/>
        <w:gridCol w:w="1984"/>
        <w:gridCol w:w="1985"/>
      </w:tblGrid>
      <w:tr>
        <w:tblPrEx>
          <w:tblLayout w:type="fixed"/>
          <w:tblCellMar>
            <w:top w:w="0" w:type="dxa"/>
            <w:left w:w="108" w:type="dxa"/>
            <w:bottom w:w="0" w:type="dxa"/>
            <w:right w:w="108" w:type="dxa"/>
          </w:tblCellMar>
        </w:tblPrEx>
        <w:trPr>
          <w:trHeight w:val="600" w:hRule="atLeast"/>
        </w:trPr>
        <w:tc>
          <w:tcPr>
            <w:tcW w:w="8946" w:type="dxa"/>
            <w:gridSpan w:val="6"/>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一般公共预算财政拨款支出决算表</w:t>
            </w:r>
          </w:p>
        </w:tc>
      </w:tr>
      <w:tr>
        <w:tblPrEx>
          <w:tblLayout w:type="fixed"/>
          <w:tblCellMar>
            <w:top w:w="0" w:type="dxa"/>
            <w:left w:w="108" w:type="dxa"/>
            <w:bottom w:w="0" w:type="dxa"/>
            <w:right w:w="108" w:type="dxa"/>
          </w:tblCellMar>
        </w:tblPrEx>
        <w:trPr>
          <w:trHeight w:val="222" w:hRule="atLeast"/>
        </w:trPr>
        <w:tc>
          <w:tcPr>
            <w:tcW w:w="560"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560"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872"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4"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公开05表</w:t>
            </w:r>
          </w:p>
        </w:tc>
      </w:tr>
      <w:tr>
        <w:tblPrEx>
          <w:tblLayout w:type="fixed"/>
          <w:tblCellMar>
            <w:top w:w="0" w:type="dxa"/>
            <w:left w:w="108" w:type="dxa"/>
            <w:bottom w:w="0" w:type="dxa"/>
            <w:right w:w="108" w:type="dxa"/>
          </w:tblCellMar>
        </w:tblPrEx>
        <w:trPr>
          <w:trHeight w:val="300" w:hRule="atLeast"/>
        </w:trPr>
        <w:tc>
          <w:tcPr>
            <w:tcW w:w="1120"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872"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985"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4"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985"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05" w:hRule="atLeast"/>
        </w:trPr>
        <w:tc>
          <w:tcPr>
            <w:tcW w:w="2992"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项 </w:t>
            </w:r>
            <w:r>
              <w:rPr>
                <w:rFonts w:hint="eastAsia" w:ascii="宋体" w:hAnsi="宋体" w:cs="宋体"/>
                <w:color w:val="000000"/>
                <w:kern w:val="0"/>
                <w:sz w:val="22"/>
                <w:szCs w:val="22"/>
              </w:rPr>
              <w:t xml:space="preserve">   </w:t>
            </w:r>
            <w:r>
              <w:rPr>
                <w:rFonts w:hint="eastAsia" w:ascii="宋体" w:hAnsi="宋体" w:cs="宋体"/>
                <w:kern w:val="0"/>
                <w:sz w:val="24"/>
              </w:rPr>
              <w:t>目</w:t>
            </w:r>
          </w:p>
        </w:tc>
        <w:tc>
          <w:tcPr>
            <w:tcW w:w="1985"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本年支出合计</w:t>
            </w:r>
          </w:p>
        </w:tc>
        <w:tc>
          <w:tcPr>
            <w:tcW w:w="198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基本支出  </w:t>
            </w:r>
          </w:p>
        </w:tc>
        <w:tc>
          <w:tcPr>
            <w:tcW w:w="1985"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项目支出</w:t>
            </w:r>
          </w:p>
        </w:tc>
      </w:tr>
      <w:tr>
        <w:tblPrEx>
          <w:tblLayout w:type="fixed"/>
          <w:tblCellMar>
            <w:top w:w="0" w:type="dxa"/>
            <w:left w:w="108" w:type="dxa"/>
            <w:bottom w:w="0" w:type="dxa"/>
            <w:right w:w="108" w:type="dxa"/>
          </w:tblCellMar>
        </w:tblPrEx>
        <w:trPr>
          <w:trHeight w:val="495" w:hRule="atLeast"/>
        </w:trPr>
        <w:tc>
          <w:tcPr>
            <w:tcW w:w="1120"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87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PrEx>
        <w:trPr>
          <w:trHeight w:val="360" w:hRule="atLeast"/>
        </w:trPr>
        <w:tc>
          <w:tcPr>
            <w:tcW w:w="1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98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985"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992"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栏次</w:t>
            </w:r>
          </w:p>
        </w:tc>
        <w:tc>
          <w:tcPr>
            <w:tcW w:w="1985"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8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85" w:type="dxa"/>
            <w:tcBorders>
              <w:top w:val="nil"/>
              <w:left w:val="nil"/>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3</w:t>
            </w:r>
          </w:p>
        </w:tc>
      </w:tr>
      <w:tr>
        <w:tblPrEx>
          <w:tblLayout w:type="fixed"/>
          <w:tblCellMar>
            <w:top w:w="0" w:type="dxa"/>
            <w:left w:w="108" w:type="dxa"/>
            <w:bottom w:w="0" w:type="dxa"/>
            <w:right w:w="108" w:type="dxa"/>
          </w:tblCellMar>
        </w:tblPrEx>
        <w:trPr>
          <w:trHeight w:val="450" w:hRule="atLeast"/>
        </w:trPr>
        <w:tc>
          <w:tcPr>
            <w:tcW w:w="2992"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合计</w:t>
            </w:r>
          </w:p>
        </w:tc>
        <w:tc>
          <w:tcPr>
            <w:tcW w:w="198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2"/>
                <w:szCs w:val="22"/>
                <w:u w:val="none"/>
                <w:lang w:val="en-US" w:eastAsia="zh-CN" w:bidi="ar"/>
              </w:rPr>
              <w:t>576.09</w:t>
            </w:r>
          </w:p>
        </w:tc>
        <w:tc>
          <w:tcPr>
            <w:tcW w:w="198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201.01</w:t>
            </w:r>
            <w:r>
              <w:rPr>
                <w:rFonts w:hint="eastAsia" w:ascii="宋体" w:hAnsi="宋体" w:eastAsia="宋体" w:cs="宋体"/>
                <w:i w:val="0"/>
                <w:color w:val="000000"/>
                <w:kern w:val="0"/>
                <w:sz w:val="24"/>
                <w:szCs w:val="24"/>
                <w:u w:val="none"/>
                <w:lang w:val="en-US" w:eastAsia="zh-CN" w:bidi="ar"/>
              </w:rPr>
              <w:t xml:space="preserve"> </w:t>
            </w:r>
          </w:p>
        </w:tc>
        <w:tc>
          <w:tcPr>
            <w:tcW w:w="1985" w:type="dxa"/>
            <w:tcBorders>
              <w:top w:val="nil"/>
              <w:left w:val="nil"/>
              <w:bottom w:val="single" w:color="auto" w:sz="4" w:space="0"/>
              <w:right w:val="single" w:color="auto" w:sz="8"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375.08</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210</w:t>
            </w:r>
          </w:p>
        </w:tc>
        <w:tc>
          <w:tcPr>
            <w:tcW w:w="187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宋体" w:hAnsi="宋体" w:cs="宋体"/>
                <w:kern w:val="0"/>
                <w:sz w:val="24"/>
              </w:rPr>
            </w:pPr>
            <w:r>
              <w:rPr>
                <w:rFonts w:hint="eastAsia" w:ascii="宋体" w:hAnsi="宋体" w:cs="宋体"/>
                <w:i w:val="0"/>
                <w:color w:val="000000"/>
                <w:kern w:val="0"/>
                <w:sz w:val="20"/>
                <w:szCs w:val="20"/>
                <w:u w:val="none"/>
                <w:lang w:val="en-US" w:eastAsia="zh-CN" w:bidi="ar"/>
              </w:rPr>
              <w:t>医疗卫生与计划生育支出</w:t>
            </w:r>
          </w:p>
        </w:tc>
        <w:tc>
          <w:tcPr>
            <w:tcW w:w="198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2"/>
                <w:szCs w:val="22"/>
                <w:u w:val="none"/>
                <w:lang w:val="en-US" w:eastAsia="zh-CN" w:bidi="ar"/>
              </w:rPr>
              <w:t>576.09</w:t>
            </w:r>
            <w:r>
              <w:rPr>
                <w:rFonts w:hint="eastAsia" w:ascii="宋体" w:hAnsi="宋体" w:eastAsia="宋体" w:cs="宋体"/>
                <w:i w:val="0"/>
                <w:color w:val="000000"/>
                <w:kern w:val="0"/>
                <w:sz w:val="24"/>
                <w:szCs w:val="24"/>
                <w:u w:val="none"/>
                <w:lang w:val="en-US" w:eastAsia="zh-CN" w:bidi="ar"/>
              </w:rPr>
              <w:t xml:space="preserve"> </w:t>
            </w:r>
          </w:p>
        </w:tc>
        <w:tc>
          <w:tcPr>
            <w:tcW w:w="198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201.01</w:t>
            </w:r>
          </w:p>
        </w:tc>
        <w:tc>
          <w:tcPr>
            <w:tcW w:w="1985" w:type="dxa"/>
            <w:tcBorders>
              <w:top w:val="nil"/>
              <w:left w:val="nil"/>
              <w:bottom w:val="single" w:color="auto" w:sz="4" w:space="0"/>
              <w:right w:val="single" w:color="auto" w:sz="8" w:space="0"/>
            </w:tcBorders>
            <w:vAlign w:val="center"/>
          </w:tcPr>
          <w:p>
            <w:pPr>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 w:val="24"/>
              </w:rPr>
            </w:pPr>
            <w:r>
              <w:rPr>
                <w:rFonts w:hint="eastAsia"/>
              </w:rPr>
              <w:t>21003</w:t>
            </w:r>
          </w:p>
        </w:tc>
        <w:tc>
          <w:tcPr>
            <w:tcW w:w="187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宋体" w:hAnsi="宋体" w:cs="宋体"/>
                <w:kern w:val="0"/>
                <w:sz w:val="24"/>
              </w:rPr>
            </w:pPr>
            <w:r>
              <w:rPr>
                <w:rFonts w:hint="eastAsia" w:ascii="宋体" w:hAnsi="宋体" w:eastAsia="宋体" w:cs="宋体"/>
                <w:i w:val="0"/>
                <w:color w:val="000000"/>
                <w:kern w:val="0"/>
                <w:sz w:val="20"/>
                <w:szCs w:val="20"/>
                <w:u w:val="none"/>
                <w:lang w:val="en-US" w:eastAsia="zh-CN" w:bidi="ar"/>
              </w:rPr>
              <w:t>基层医疗卫生机构</w:t>
            </w:r>
          </w:p>
        </w:tc>
        <w:tc>
          <w:tcPr>
            <w:tcW w:w="198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223.70</w:t>
            </w:r>
          </w:p>
        </w:tc>
        <w:tc>
          <w:tcPr>
            <w:tcW w:w="198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201.01</w:t>
            </w:r>
          </w:p>
        </w:tc>
        <w:tc>
          <w:tcPr>
            <w:tcW w:w="1985" w:type="dxa"/>
            <w:tcBorders>
              <w:top w:val="nil"/>
              <w:left w:val="nil"/>
              <w:bottom w:val="single" w:color="auto" w:sz="4" w:space="0"/>
              <w:right w:val="single" w:color="auto" w:sz="8" w:space="0"/>
            </w:tcBorders>
            <w:vAlign w:val="center"/>
          </w:tcPr>
          <w:p>
            <w:pPr>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 w:val="24"/>
              </w:rPr>
            </w:pPr>
            <w:r>
              <w:rPr>
                <w:rFonts w:hint="eastAsia" w:ascii="宋体" w:hAnsi="宋体" w:eastAsia="宋体" w:cs="宋体"/>
                <w:i w:val="0"/>
                <w:color w:val="000000"/>
                <w:kern w:val="0"/>
                <w:sz w:val="24"/>
                <w:szCs w:val="24"/>
                <w:u w:val="none"/>
                <w:lang w:val="en-US" w:eastAsia="zh-CN" w:bidi="ar"/>
              </w:rPr>
              <w:t xml:space="preserve">2100301 </w:t>
            </w:r>
          </w:p>
        </w:tc>
        <w:tc>
          <w:tcPr>
            <w:tcW w:w="187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宋体" w:hAnsi="宋体" w:cs="宋体"/>
                <w:kern w:val="0"/>
                <w:sz w:val="24"/>
              </w:rPr>
            </w:pPr>
            <w:r>
              <w:rPr>
                <w:rFonts w:hint="eastAsia" w:ascii="宋体" w:hAnsi="宋体" w:eastAsia="宋体" w:cs="宋体"/>
                <w:i w:val="0"/>
                <w:color w:val="000000"/>
                <w:kern w:val="0"/>
                <w:sz w:val="20"/>
                <w:szCs w:val="20"/>
                <w:u w:val="none"/>
                <w:lang w:val="en-US" w:eastAsia="zh-CN" w:bidi="ar"/>
              </w:rPr>
              <w:t>城市社区卫生机构</w:t>
            </w:r>
          </w:p>
        </w:tc>
        <w:tc>
          <w:tcPr>
            <w:tcW w:w="198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201.01</w:t>
            </w:r>
          </w:p>
        </w:tc>
        <w:tc>
          <w:tcPr>
            <w:tcW w:w="1984"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201.01</w:t>
            </w:r>
            <w:r>
              <w:rPr>
                <w:rFonts w:hint="eastAsia" w:ascii="宋体" w:hAnsi="宋体" w:eastAsia="宋体" w:cs="宋体"/>
                <w:i w:val="0"/>
                <w:color w:val="000000"/>
                <w:kern w:val="0"/>
                <w:sz w:val="24"/>
                <w:szCs w:val="24"/>
                <w:u w:val="none"/>
                <w:lang w:val="en-US" w:eastAsia="zh-CN" w:bidi="ar"/>
              </w:rPr>
              <w:t xml:space="preserve"> </w:t>
            </w:r>
          </w:p>
        </w:tc>
        <w:tc>
          <w:tcPr>
            <w:tcW w:w="1985" w:type="dxa"/>
            <w:tcBorders>
              <w:top w:val="nil"/>
              <w:left w:val="nil"/>
              <w:bottom w:val="single" w:color="auto" w:sz="4" w:space="0"/>
              <w:right w:val="single" w:color="auto" w:sz="8" w:space="0"/>
            </w:tcBorders>
            <w:vAlign w:val="center"/>
          </w:tcPr>
          <w:p>
            <w:pPr>
              <w:jc w:val="righ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 w:val="24"/>
              </w:rPr>
            </w:pPr>
            <w:r>
              <w:rPr>
                <w:rFonts w:hint="eastAsia" w:ascii="宋体" w:hAnsi="宋体" w:eastAsia="宋体" w:cs="宋体"/>
                <w:i w:val="0"/>
                <w:color w:val="000000"/>
                <w:kern w:val="0"/>
                <w:sz w:val="24"/>
                <w:szCs w:val="24"/>
                <w:u w:val="none"/>
                <w:lang w:val="en-US" w:eastAsia="zh-CN" w:bidi="ar"/>
              </w:rPr>
              <w:t>2100399</w:t>
            </w:r>
          </w:p>
        </w:tc>
        <w:tc>
          <w:tcPr>
            <w:tcW w:w="187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宋体" w:hAnsi="宋体" w:cs="宋体"/>
                <w:kern w:val="0"/>
                <w:sz w:val="24"/>
              </w:rPr>
            </w:pPr>
            <w:r>
              <w:rPr>
                <w:rFonts w:hint="eastAsia" w:ascii="宋体" w:hAnsi="宋体" w:eastAsia="宋体" w:cs="宋体"/>
                <w:i w:val="0"/>
                <w:color w:val="000000"/>
                <w:kern w:val="0"/>
                <w:sz w:val="20"/>
                <w:szCs w:val="20"/>
                <w:u w:val="none"/>
                <w:lang w:val="en-US" w:eastAsia="zh-CN" w:bidi="ar"/>
              </w:rPr>
              <w:t>其他基层医疗卫生机构支出</w:t>
            </w:r>
          </w:p>
        </w:tc>
        <w:tc>
          <w:tcPr>
            <w:tcW w:w="198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22.69</w:t>
            </w:r>
          </w:p>
        </w:tc>
        <w:tc>
          <w:tcPr>
            <w:tcW w:w="1984" w:type="dxa"/>
            <w:tcBorders>
              <w:top w:val="nil"/>
              <w:left w:val="nil"/>
              <w:bottom w:val="single" w:color="auto" w:sz="4" w:space="0"/>
              <w:right w:val="single" w:color="auto" w:sz="4" w:space="0"/>
            </w:tcBorders>
            <w:vAlign w:val="center"/>
          </w:tcPr>
          <w:p>
            <w:pPr>
              <w:jc w:val="righ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22.69</w:t>
            </w:r>
            <w:r>
              <w:rPr>
                <w:rFonts w:hint="eastAsia" w:ascii="宋体" w:hAnsi="宋体" w:eastAsia="宋体" w:cs="宋体"/>
                <w:i w:val="0"/>
                <w:color w:val="000000"/>
                <w:kern w:val="0"/>
                <w:sz w:val="24"/>
                <w:szCs w:val="24"/>
                <w:u w:val="none"/>
                <w:lang w:val="en-US" w:eastAsia="zh-CN" w:bidi="ar"/>
              </w:rPr>
              <w:t xml:space="preserve"> </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21004</w:t>
            </w:r>
          </w:p>
        </w:tc>
        <w:tc>
          <w:tcPr>
            <w:tcW w:w="187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宋体" w:hAnsi="宋体" w:cs="宋体"/>
                <w:kern w:val="0"/>
                <w:sz w:val="24"/>
              </w:rPr>
            </w:pPr>
            <w:r>
              <w:rPr>
                <w:rFonts w:hint="eastAsia" w:ascii="宋体" w:hAnsi="宋体" w:cs="宋体"/>
                <w:i w:val="0"/>
                <w:color w:val="000000"/>
                <w:kern w:val="0"/>
                <w:sz w:val="20"/>
                <w:szCs w:val="20"/>
                <w:u w:val="none"/>
                <w:lang w:val="en-US" w:eastAsia="zh-CN" w:bidi="ar"/>
              </w:rPr>
              <w:t>公共卫生</w:t>
            </w:r>
          </w:p>
        </w:tc>
        <w:tc>
          <w:tcPr>
            <w:tcW w:w="198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352.39</w:t>
            </w:r>
          </w:p>
        </w:tc>
        <w:tc>
          <w:tcPr>
            <w:tcW w:w="1984" w:type="dxa"/>
            <w:tcBorders>
              <w:top w:val="nil"/>
              <w:left w:val="nil"/>
              <w:bottom w:val="single" w:color="auto" w:sz="4" w:space="0"/>
              <w:right w:val="single" w:color="auto" w:sz="4" w:space="0"/>
            </w:tcBorders>
            <w:vAlign w:val="center"/>
          </w:tcPr>
          <w:p>
            <w:pPr>
              <w:jc w:val="righ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keepNext w:val="0"/>
              <w:keepLines w:val="0"/>
              <w:widowControl/>
              <w:suppressLineNumbers w:val="0"/>
              <w:jc w:val="right"/>
              <w:textAlignment w:val="center"/>
              <w:rPr>
                <w:rFonts w:ascii="宋体" w:hAnsi="宋体" w:cs="宋体"/>
                <w:kern w:val="0"/>
                <w:sz w:val="24"/>
                <w:lang w:val="en-US"/>
              </w:rPr>
            </w:pPr>
            <w:r>
              <w:rPr>
                <w:rFonts w:hint="eastAsia" w:ascii="宋体" w:hAnsi="宋体" w:cs="宋体"/>
                <w:i w:val="0"/>
                <w:color w:val="000000"/>
                <w:kern w:val="0"/>
                <w:sz w:val="24"/>
                <w:szCs w:val="24"/>
                <w:u w:val="none"/>
                <w:lang w:val="en-US" w:eastAsia="zh-CN" w:bidi="ar"/>
              </w:rPr>
              <w:t>352.39</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ascii="宋体" w:hAnsi="宋体" w:cs="宋体"/>
                <w:kern w:val="0"/>
                <w:sz w:val="24"/>
              </w:rPr>
            </w:pPr>
            <w:r>
              <w:rPr>
                <w:rFonts w:hint="eastAsia" w:ascii="宋体" w:hAnsi="宋体" w:eastAsia="宋体" w:cs="宋体"/>
                <w:i w:val="0"/>
                <w:color w:val="000000"/>
                <w:kern w:val="0"/>
                <w:sz w:val="24"/>
                <w:szCs w:val="24"/>
                <w:u w:val="none"/>
                <w:lang w:val="en-US" w:eastAsia="zh-CN" w:bidi="ar"/>
              </w:rPr>
              <w:t xml:space="preserve">2100408 </w:t>
            </w:r>
          </w:p>
        </w:tc>
        <w:tc>
          <w:tcPr>
            <w:tcW w:w="1872"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ascii="宋体" w:hAnsi="宋体" w:cs="宋体"/>
                <w:kern w:val="0"/>
                <w:sz w:val="24"/>
              </w:rPr>
            </w:pPr>
            <w:r>
              <w:rPr>
                <w:rFonts w:hint="eastAsia" w:ascii="宋体" w:hAnsi="宋体" w:eastAsia="宋体" w:cs="宋体"/>
                <w:i w:val="0"/>
                <w:color w:val="000000"/>
                <w:kern w:val="0"/>
                <w:sz w:val="20"/>
                <w:szCs w:val="20"/>
                <w:u w:val="none"/>
                <w:lang w:val="en-US" w:eastAsia="zh-CN" w:bidi="ar"/>
              </w:rPr>
              <w:t>基本公共卫生服务</w:t>
            </w:r>
          </w:p>
        </w:tc>
        <w:tc>
          <w:tcPr>
            <w:tcW w:w="198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352.39</w:t>
            </w:r>
          </w:p>
        </w:tc>
        <w:tc>
          <w:tcPr>
            <w:tcW w:w="1984" w:type="dxa"/>
            <w:tcBorders>
              <w:top w:val="nil"/>
              <w:left w:val="nil"/>
              <w:bottom w:val="single" w:color="auto" w:sz="4" w:space="0"/>
              <w:right w:val="single" w:color="auto" w:sz="4" w:space="0"/>
            </w:tcBorders>
            <w:vAlign w:val="center"/>
          </w:tcPr>
          <w:p>
            <w:pPr>
              <w:jc w:val="righ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keepNext w:val="0"/>
              <w:keepLines w:val="0"/>
              <w:widowControl/>
              <w:suppressLineNumbers w:val="0"/>
              <w:jc w:val="right"/>
              <w:textAlignment w:val="center"/>
              <w:rPr>
                <w:rFonts w:ascii="宋体" w:hAnsi="宋体" w:cs="宋体"/>
                <w:kern w:val="0"/>
                <w:sz w:val="24"/>
              </w:rPr>
            </w:pPr>
            <w:r>
              <w:rPr>
                <w:rFonts w:hint="eastAsia" w:ascii="宋体" w:hAnsi="宋体" w:cs="宋体"/>
                <w:i w:val="0"/>
                <w:color w:val="000000"/>
                <w:kern w:val="0"/>
                <w:sz w:val="24"/>
                <w:szCs w:val="24"/>
                <w:u w:val="none"/>
                <w:lang w:val="en-US" w:eastAsia="zh-CN" w:bidi="ar"/>
              </w:rPr>
              <w:t>352.39</w:t>
            </w: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120" w:type="dxa"/>
            <w:gridSpan w:val="2"/>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87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1985" w:type="dxa"/>
            <w:tcBorders>
              <w:top w:val="nil"/>
              <w:left w:val="nil"/>
              <w:bottom w:val="single" w:color="auto" w:sz="4" w:space="0"/>
              <w:right w:val="single" w:color="auto" w:sz="8" w:space="0"/>
            </w:tcBorders>
            <w:vAlign w:val="center"/>
          </w:tcPr>
          <w:p>
            <w:pPr>
              <w:widowControl/>
              <w:jc w:val="left"/>
              <w:rPr>
                <w:rFonts w:ascii="宋体" w:hAnsi="宋体" w:cs="宋体"/>
                <w:kern w:val="0"/>
                <w:sz w:val="24"/>
              </w:rPr>
            </w:pP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注：本表反映部门本年度一般公共预算财政拨款实际支出情况。有关填表说明：</w:t>
      </w:r>
    </w:p>
    <w:p>
      <w:pPr>
        <w:spacing w:line="580" w:lineRule="exact"/>
        <w:ind w:firstLine="480" w:firstLineChars="200"/>
        <w:rPr>
          <w:rFonts w:ascii="仿宋_GB2312" w:eastAsia="仿宋_GB2312"/>
          <w:sz w:val="24"/>
          <w:szCs w:val="24"/>
        </w:rPr>
      </w:pPr>
      <w:r>
        <w:rPr>
          <w:rFonts w:hint="eastAsia" w:ascii="仿宋_GB2312" w:eastAsia="仿宋_GB2312"/>
          <w:sz w:val="24"/>
          <w:szCs w:val="24"/>
        </w:rPr>
        <w:t>（1）本表数据填列当年决算数，以“万元”为金额单位，保留两位小数。</w:t>
      </w:r>
    </w:p>
    <w:p>
      <w:pPr>
        <w:spacing w:line="580" w:lineRule="exact"/>
        <w:ind w:firstLine="480" w:firstLineChars="200"/>
        <w:rPr>
          <w:rFonts w:ascii="仿宋_GB2312" w:eastAsia="仿宋_GB2312"/>
          <w:sz w:val="24"/>
          <w:szCs w:val="24"/>
        </w:rPr>
      </w:pPr>
      <w:r>
        <w:rPr>
          <w:rFonts w:hint="eastAsia" w:ascii="仿宋_GB2312" w:hAnsi="宋体" w:eastAsia="仿宋_GB2312"/>
          <w:sz w:val="24"/>
          <w:szCs w:val="24"/>
        </w:rPr>
        <w:t>（2）</w:t>
      </w:r>
      <w:r>
        <w:rPr>
          <w:rFonts w:hint="eastAsia" w:ascii="仿宋_GB2312" w:eastAsia="仿宋_GB2312"/>
          <w:sz w:val="24"/>
          <w:szCs w:val="24"/>
        </w:rPr>
        <w:t>本表功能科目填列到项级支出科目，没有发生数的支出科目不用填列。</w:t>
      </w:r>
    </w:p>
    <w:p>
      <w:pPr>
        <w:spacing w:line="580" w:lineRule="exact"/>
        <w:ind w:firstLine="480" w:firstLineChars="200"/>
        <w:rPr>
          <w:rFonts w:ascii="仿宋_GB2312" w:hAnsi="宋体" w:eastAsia="仿宋_GB2312"/>
          <w:sz w:val="24"/>
          <w:szCs w:val="24"/>
        </w:rPr>
      </w:pPr>
      <w:r>
        <w:rPr>
          <w:rFonts w:hint="eastAsia" w:ascii="仿宋_GB2312" w:hAnsi="宋体" w:eastAsia="仿宋_GB2312"/>
          <w:sz w:val="24"/>
          <w:szCs w:val="24"/>
        </w:rPr>
        <w:t>（3）1栏=（2+3）栏。</w:t>
      </w:r>
    </w:p>
    <w:p>
      <w:pPr>
        <w:spacing w:line="360" w:lineRule="auto"/>
        <w:ind w:firstLine="448" w:firstLineChars="187"/>
        <w:rPr>
          <w:rFonts w:ascii="仿宋_GB2312" w:eastAsia="仿宋_GB2312"/>
          <w:sz w:val="24"/>
          <w:szCs w:val="24"/>
        </w:rPr>
      </w:pPr>
      <w:r>
        <w:rPr>
          <w:rFonts w:hint="eastAsia" w:ascii="仿宋_GB2312" w:eastAsia="仿宋_GB2312"/>
          <w:sz w:val="24"/>
          <w:szCs w:val="24"/>
        </w:rPr>
        <w:t>（4）此表没有发生数据的，在合计行填“0”，并在该表下方附简要说明。</w:t>
      </w:r>
    </w:p>
    <w:p>
      <w:pPr>
        <w:numPr>
          <w:ilvl w:val="0"/>
          <w:numId w:val="0"/>
        </w:numPr>
        <w:ind w:leftChars="0"/>
        <w:rPr>
          <w:rFonts w:hint="eastAsia" w:ascii="仿宋_GB2312" w:eastAsia="仿宋_GB2312"/>
          <w:sz w:val="24"/>
          <w:szCs w:val="24"/>
        </w:rPr>
      </w:pPr>
      <w:r>
        <w:rPr>
          <w:rFonts w:hint="eastAsia" w:ascii="仿宋_GB2312" w:eastAsia="仿宋_GB2312"/>
          <w:sz w:val="24"/>
          <w:szCs w:val="24"/>
        </w:rPr>
        <w:t>（5）该表数据来源于部门决算报表中的《一般公共预算财政拨款收入支出决算表》（财决07表）和《项目收入支出决算表》（财决06表）。</w:t>
      </w:r>
    </w:p>
    <w:p>
      <w:pPr>
        <w:numPr>
          <w:ilvl w:val="0"/>
          <w:numId w:val="0"/>
        </w:numPr>
        <w:ind w:leftChars="0"/>
        <w:rPr>
          <w:rFonts w:hint="eastAsia" w:ascii="仿宋_GB2312" w:eastAsia="仿宋_GB2312"/>
          <w:sz w:val="28"/>
          <w:szCs w:val="28"/>
        </w:rPr>
      </w:pPr>
    </w:p>
    <w:p>
      <w:pPr>
        <w:numPr>
          <w:ilvl w:val="0"/>
          <w:numId w:val="0"/>
        </w:numPr>
        <w:ind w:leftChars="0"/>
        <w:rPr>
          <w:rFonts w:hint="eastAsia" w:ascii="仿宋_GB2312" w:eastAsia="仿宋_GB2312"/>
          <w:sz w:val="28"/>
          <w:szCs w:val="28"/>
        </w:rPr>
      </w:pPr>
    </w:p>
    <w:p>
      <w:pPr>
        <w:spacing w:line="288" w:lineRule="auto"/>
        <w:ind w:firstLine="0" w:firstLineChars="0"/>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一般公共预算财政拨款基本支出决算表</w:t>
      </w:r>
    </w:p>
    <w:p>
      <w:pPr>
        <w:spacing w:line="288" w:lineRule="auto"/>
        <w:ind w:firstLine="0" w:firstLineChars="0"/>
        <w:jc w:val="right"/>
        <w:rPr>
          <w:rFonts w:hint="eastAsia" w:ascii="宋体" w:hAnsi="宋体" w:cs="宋体"/>
          <w:color w:val="000000"/>
          <w:kern w:val="0"/>
          <w:sz w:val="20"/>
          <w:szCs w:val="20"/>
        </w:rPr>
      </w:pPr>
      <w:r>
        <w:rPr>
          <w:rFonts w:hint="eastAsia" w:ascii="宋体" w:hAnsi="宋体" w:cs="宋体"/>
          <w:color w:val="000000"/>
          <w:kern w:val="0"/>
          <w:sz w:val="20"/>
          <w:szCs w:val="20"/>
        </w:rPr>
        <w:t>公开06表</w:t>
      </w:r>
    </w:p>
    <w:p>
      <w:pPr>
        <w:spacing w:line="288" w:lineRule="auto"/>
        <w:ind w:firstLine="0" w:firstLineChars="0"/>
        <w:jc w:val="left"/>
        <w:rPr>
          <w:rFonts w:hint="eastAsia" w:ascii="宋体" w:hAnsi="宋体" w:cs="宋体"/>
          <w:color w:val="000000"/>
          <w:kern w:val="0"/>
          <w:sz w:val="20"/>
          <w:szCs w:val="20"/>
        </w:rPr>
      </w:pPr>
      <w:r>
        <w:rPr>
          <w:rFonts w:hint="eastAsia" w:ascii="宋体" w:hAnsi="宋体" w:cs="宋体"/>
          <w:color w:val="000000"/>
          <w:kern w:val="0"/>
          <w:sz w:val="20"/>
          <w:szCs w:val="20"/>
        </w:rPr>
        <w:t>部门：</w:t>
      </w:r>
      <w:r>
        <w:rPr>
          <w:rFonts w:hint="eastAsia" w:ascii="宋体" w:hAnsi="宋体" w:cs="宋体"/>
          <w:color w:val="000000"/>
          <w:kern w:val="0"/>
          <w:sz w:val="20"/>
          <w:szCs w:val="20"/>
          <w:lang w:val="en-US" w:eastAsia="zh-CN"/>
        </w:rPr>
        <w:t xml:space="preserve">                                                                        </w:t>
      </w:r>
      <w:r>
        <w:rPr>
          <w:rFonts w:hint="eastAsia" w:ascii="宋体" w:hAnsi="宋体" w:cs="宋体"/>
          <w:color w:val="000000"/>
          <w:kern w:val="0"/>
          <w:sz w:val="20"/>
          <w:szCs w:val="20"/>
        </w:rPr>
        <w:t>单位：万元</w:t>
      </w:r>
    </w:p>
    <w:tbl>
      <w:tblPr>
        <w:tblStyle w:val="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2410"/>
        <w:gridCol w:w="886"/>
        <w:gridCol w:w="1224"/>
        <w:gridCol w:w="2317"/>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blHeader/>
        </w:trPr>
        <w:tc>
          <w:tcPr>
            <w:tcW w:w="4537"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人员经费</w:t>
            </w:r>
          </w:p>
        </w:tc>
        <w:tc>
          <w:tcPr>
            <w:tcW w:w="4523" w:type="dxa"/>
            <w:gridSpan w:val="3"/>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blHeader/>
        </w:trPr>
        <w:tc>
          <w:tcPr>
            <w:tcW w:w="1241"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经济分类</w:t>
            </w:r>
            <w:r>
              <w:rPr>
                <w:rFonts w:ascii="宋体" w:hAnsi="宋体" w:cs="宋体"/>
                <w:color w:val="000000"/>
                <w:kern w:val="0"/>
                <w:sz w:val="24"/>
              </w:rPr>
              <w:br w:type="textWrapping"/>
            </w:r>
            <w:r>
              <w:rPr>
                <w:rFonts w:hint="eastAsia" w:ascii="宋体" w:hAnsi="宋体" w:cs="宋体"/>
                <w:color w:val="000000"/>
                <w:kern w:val="0"/>
                <w:sz w:val="24"/>
              </w:rPr>
              <w:t>科目编码</w:t>
            </w:r>
          </w:p>
        </w:tc>
        <w:tc>
          <w:tcPr>
            <w:tcW w:w="241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科目名称</w:t>
            </w:r>
          </w:p>
        </w:tc>
        <w:tc>
          <w:tcPr>
            <w:tcW w:w="886"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金额</w:t>
            </w:r>
          </w:p>
        </w:tc>
        <w:tc>
          <w:tcPr>
            <w:tcW w:w="1224"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经济分类</w:t>
            </w:r>
            <w:r>
              <w:rPr>
                <w:rFonts w:ascii="宋体" w:hAnsi="宋体" w:cs="宋体"/>
                <w:color w:val="000000"/>
                <w:kern w:val="0"/>
                <w:sz w:val="24"/>
              </w:rPr>
              <w:br w:type="textWrapping"/>
            </w:r>
            <w:r>
              <w:rPr>
                <w:rFonts w:hint="eastAsia" w:ascii="宋体" w:hAnsi="宋体" w:cs="宋体"/>
                <w:color w:val="000000"/>
                <w:kern w:val="0"/>
                <w:sz w:val="24"/>
              </w:rPr>
              <w:t>科目编码</w:t>
            </w:r>
          </w:p>
        </w:tc>
        <w:tc>
          <w:tcPr>
            <w:tcW w:w="2317"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科目名称</w:t>
            </w:r>
          </w:p>
        </w:tc>
        <w:tc>
          <w:tcPr>
            <w:tcW w:w="982"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trPr>
        <w:tc>
          <w:tcPr>
            <w:tcW w:w="1241" w:type="dxa"/>
            <w:vMerge w:val="continue"/>
            <w:vAlign w:val="center"/>
          </w:tcPr>
          <w:p>
            <w:pPr>
              <w:widowControl/>
              <w:jc w:val="left"/>
              <w:rPr>
                <w:rFonts w:ascii="仿宋" w:hAnsi="仿宋" w:eastAsia="仿宋" w:cs="宋体"/>
                <w:color w:val="000000"/>
                <w:kern w:val="0"/>
                <w:sz w:val="24"/>
              </w:rPr>
            </w:pPr>
          </w:p>
        </w:tc>
        <w:tc>
          <w:tcPr>
            <w:tcW w:w="2410" w:type="dxa"/>
            <w:vMerge w:val="continue"/>
            <w:vAlign w:val="center"/>
          </w:tcPr>
          <w:p>
            <w:pPr>
              <w:widowControl/>
              <w:jc w:val="left"/>
              <w:rPr>
                <w:rFonts w:ascii="仿宋" w:hAnsi="仿宋" w:eastAsia="仿宋" w:cs="宋体"/>
                <w:color w:val="000000"/>
                <w:kern w:val="0"/>
                <w:sz w:val="24"/>
              </w:rPr>
            </w:pPr>
          </w:p>
        </w:tc>
        <w:tc>
          <w:tcPr>
            <w:tcW w:w="886" w:type="dxa"/>
            <w:vMerge w:val="continue"/>
            <w:vAlign w:val="center"/>
          </w:tcPr>
          <w:p>
            <w:pPr>
              <w:widowControl/>
              <w:jc w:val="left"/>
              <w:rPr>
                <w:rFonts w:ascii="仿宋" w:hAnsi="仿宋" w:eastAsia="仿宋" w:cs="宋体"/>
                <w:color w:val="000000"/>
                <w:kern w:val="0"/>
                <w:sz w:val="22"/>
                <w:szCs w:val="22"/>
              </w:rPr>
            </w:pPr>
          </w:p>
        </w:tc>
        <w:tc>
          <w:tcPr>
            <w:tcW w:w="1224" w:type="dxa"/>
            <w:vMerge w:val="continue"/>
            <w:vAlign w:val="center"/>
          </w:tcPr>
          <w:p>
            <w:pPr>
              <w:widowControl/>
              <w:jc w:val="left"/>
              <w:rPr>
                <w:rFonts w:ascii="仿宋" w:hAnsi="仿宋" w:eastAsia="仿宋" w:cs="宋体"/>
                <w:color w:val="000000"/>
                <w:kern w:val="0"/>
                <w:sz w:val="24"/>
              </w:rPr>
            </w:pPr>
          </w:p>
        </w:tc>
        <w:tc>
          <w:tcPr>
            <w:tcW w:w="2317" w:type="dxa"/>
            <w:vMerge w:val="continue"/>
            <w:vAlign w:val="center"/>
          </w:tcPr>
          <w:p>
            <w:pPr>
              <w:widowControl/>
              <w:jc w:val="left"/>
              <w:rPr>
                <w:rFonts w:ascii="仿宋" w:hAnsi="仿宋" w:eastAsia="仿宋" w:cs="宋体"/>
                <w:color w:val="000000"/>
                <w:kern w:val="0"/>
                <w:sz w:val="24"/>
              </w:rPr>
            </w:pPr>
          </w:p>
        </w:tc>
        <w:tc>
          <w:tcPr>
            <w:tcW w:w="982" w:type="dxa"/>
            <w:vMerge w:val="continue"/>
            <w:vAlign w:val="center"/>
          </w:tcPr>
          <w:p>
            <w:pPr>
              <w:widowControl/>
              <w:jc w:val="left"/>
              <w:rPr>
                <w:rFonts w:ascii="仿宋" w:hAnsi="仿宋" w:eastAsia="仿宋"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工资福利支出</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151.30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w:t>
            </w:r>
          </w:p>
        </w:tc>
        <w:tc>
          <w:tcPr>
            <w:tcW w:w="2317"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商品和服务支出</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416.84</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基本工资</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24.71</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30201</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办公费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29.13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30102</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津贴补贴</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14.72</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30202</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印刷费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26.50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30103</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奖金</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30203</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咨询费</w:t>
            </w:r>
          </w:p>
        </w:tc>
        <w:tc>
          <w:tcPr>
            <w:tcW w:w="982" w:type="dxa"/>
            <w:vAlign w:val="center"/>
          </w:tcPr>
          <w:p>
            <w:pPr>
              <w:widowControl/>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30104</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其他社会保障缴费</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28.39</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30204</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手续费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30106</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伙食补助费</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30205</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水费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30107</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绩效工资</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56.61</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30206</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电费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30108</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机关事业单位基本养老保险缴费</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30207</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邮电费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24.08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30109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职业年金缴费</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30208</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取暖费</w:t>
            </w:r>
          </w:p>
        </w:tc>
        <w:tc>
          <w:tcPr>
            <w:tcW w:w="982" w:type="dxa"/>
            <w:vAlign w:val="center"/>
          </w:tcPr>
          <w:p>
            <w:pPr>
              <w:widowControl/>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30199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其他工资福利支出</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26.87</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30209</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物业管理费</w:t>
            </w:r>
          </w:p>
        </w:tc>
        <w:tc>
          <w:tcPr>
            <w:tcW w:w="982" w:type="dxa"/>
            <w:vAlign w:val="center"/>
          </w:tcPr>
          <w:p>
            <w:pPr>
              <w:widowControl/>
              <w:jc w:val="right"/>
              <w:rPr>
                <w:rFonts w:ascii="仿宋" w:hAnsi="仿宋" w:eastAsia="仿宋" w:cs="Arial"/>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对个人和家庭的补助</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7.95</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30211</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差旅费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离休费</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30212</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因公出国（境）费用</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30302</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退休费</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30213</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维修(护)费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30303</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退职（役）费</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30214</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租赁费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30304</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抚恤金</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30215</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会议费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21.57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30305</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生活补助</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30216</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培训费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24.15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30306</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救济费</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30217</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公务接待费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30307</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医疗费</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30218</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专用材料费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214.45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30308</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助学金</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30224</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被装购置费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30309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奖励金</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30225</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专用燃料费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30310</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生产补贴</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30226</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劳务费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30311</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住房公积金</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6.75</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30227</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委托业务费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30312</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提租补贴</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30228</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工会经费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30313</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购房补贴</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30229</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福利费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30314</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采暖补贴</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30231</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公务用车运行维护费</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30315</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物业服务补贴</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0</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30239</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其他交通费用</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30399</w:t>
            </w:r>
          </w:p>
        </w:tc>
        <w:tc>
          <w:tcPr>
            <w:tcW w:w="2410"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其他对个人和家庭的补助支出</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lang w:val="en-US" w:eastAsia="zh-CN"/>
              </w:rPr>
              <w:t>1.2</w:t>
            </w: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30240</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税金及附加费用</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30299</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其他商品和服务支出</w:t>
            </w:r>
          </w:p>
        </w:tc>
        <w:tc>
          <w:tcPr>
            <w:tcW w:w="982" w:type="dxa"/>
            <w:vAlign w:val="center"/>
          </w:tcPr>
          <w:p>
            <w:pPr>
              <w:widowControl/>
              <w:jc w:val="right"/>
              <w:rPr>
                <w:rFonts w:hint="eastAsia" w:ascii="仿宋" w:hAnsi="仿宋" w:eastAsia="仿宋" w:cs="Arial"/>
                <w:color w:val="000000"/>
                <w:kern w:val="0"/>
                <w:sz w:val="24"/>
                <w:lang w:val="en-US" w:eastAsia="zh-CN"/>
              </w:rPr>
            </w:pPr>
            <w:r>
              <w:rPr>
                <w:rFonts w:hint="eastAsia" w:ascii="仿宋" w:hAnsi="仿宋" w:eastAsia="仿宋" w:cs="Arial"/>
                <w:color w:val="000000"/>
                <w:kern w:val="0"/>
                <w:sz w:val="24"/>
                <w:lang w:val="en-US" w:eastAsia="zh-CN"/>
              </w:rPr>
              <w:t>60.97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w:t>
            </w:r>
          </w:p>
        </w:tc>
        <w:tc>
          <w:tcPr>
            <w:tcW w:w="2317"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其他资本性支出</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31001</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房屋建筑物购建</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31002</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办公设备购置</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31003</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专用设备购置</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31005</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基础设施建设</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31006</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大型修缮</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31007</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信息网络及软件购置更新</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31008</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物资储备</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31009</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土地补偿</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31010</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安置补助</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31011</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地上附着物和青苗补偿</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31012</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拆迁补偿</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31013</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公务用车购置</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31019</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其他交通工具购置</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31020</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产权参股</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31099</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其他资本性支出</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w:t>
            </w:r>
          </w:p>
        </w:tc>
        <w:tc>
          <w:tcPr>
            <w:tcW w:w="2317"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对企事业单位的补贴</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30401</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企业政策性补贴</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30402</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事业单位补贴</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30403</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财政贴息</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30499</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其他对企事业单位的补贴</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w:t>
            </w:r>
          </w:p>
        </w:tc>
        <w:tc>
          <w:tcPr>
            <w:tcW w:w="2317"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债务利息支出</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30701</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国内债务付息</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30707</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国外债务付息</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399</w:t>
            </w:r>
          </w:p>
        </w:tc>
        <w:tc>
          <w:tcPr>
            <w:tcW w:w="2317"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其他支出</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1241"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2410" w:type="dxa"/>
            <w:vAlign w:val="center"/>
          </w:tcPr>
          <w:p>
            <w:pPr>
              <w:widowControl/>
              <w:jc w:val="left"/>
              <w:rPr>
                <w:rFonts w:ascii="仿宋" w:hAnsi="仿宋" w:eastAsia="仿宋" w:cs="宋体"/>
                <w:color w:val="000000"/>
                <w:kern w:val="0"/>
                <w:sz w:val="24"/>
              </w:rPr>
            </w:pPr>
            <w:r>
              <w:rPr>
                <w:rFonts w:hint="eastAsia" w:ascii="仿宋" w:hAnsi="仿宋" w:eastAsia="仿宋" w:cs="宋体"/>
                <w:color w:val="000000"/>
                <w:kern w:val="0"/>
                <w:sz w:val="24"/>
              </w:rPr>
              <w:t>　</w:t>
            </w:r>
          </w:p>
        </w:tc>
        <w:tc>
          <w:tcPr>
            <w:tcW w:w="886" w:type="dxa"/>
            <w:vAlign w:val="center"/>
          </w:tcPr>
          <w:p>
            <w:pPr>
              <w:widowControl/>
              <w:jc w:val="right"/>
              <w:rPr>
                <w:rFonts w:ascii="仿宋" w:hAnsi="仿宋" w:eastAsia="仿宋" w:cs="Arial"/>
                <w:color w:val="000000"/>
                <w:kern w:val="0"/>
                <w:sz w:val="22"/>
                <w:szCs w:val="22"/>
              </w:rPr>
            </w:pPr>
            <w:r>
              <w:rPr>
                <w:rFonts w:hint="eastAsia" w:ascii="仿宋" w:hAnsi="仿宋" w:eastAsia="仿宋" w:cs="Arial"/>
                <w:color w:val="000000"/>
                <w:kern w:val="0"/>
                <w:sz w:val="22"/>
                <w:szCs w:val="22"/>
              </w:rPr>
              <w:t>　</w:t>
            </w:r>
          </w:p>
        </w:tc>
        <w:tc>
          <w:tcPr>
            <w:tcW w:w="1224"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39906</w:t>
            </w:r>
          </w:p>
        </w:tc>
        <w:tc>
          <w:tcPr>
            <w:tcW w:w="2317" w:type="dxa"/>
            <w:vAlign w:val="center"/>
          </w:tcPr>
          <w:p>
            <w:pPr>
              <w:widowControl/>
              <w:jc w:val="left"/>
              <w:rPr>
                <w:rFonts w:ascii="仿宋" w:hAnsi="仿宋" w:eastAsia="仿宋" w:cs="宋体"/>
                <w:color w:val="000000"/>
                <w:kern w:val="0"/>
                <w:sz w:val="24"/>
              </w:rPr>
            </w:pPr>
            <w:r>
              <w:rPr>
                <w:rFonts w:ascii="仿宋" w:hAnsi="仿宋" w:eastAsia="仿宋" w:cs="宋体"/>
                <w:color w:val="000000"/>
                <w:kern w:val="0"/>
                <w:sz w:val="24"/>
              </w:rPr>
              <w:t xml:space="preserve">  赠与</w:t>
            </w:r>
          </w:p>
        </w:tc>
        <w:tc>
          <w:tcPr>
            <w:tcW w:w="982" w:type="dxa"/>
            <w:vAlign w:val="center"/>
          </w:tcPr>
          <w:p>
            <w:pPr>
              <w:widowControl/>
              <w:jc w:val="right"/>
              <w:rPr>
                <w:rFonts w:ascii="仿宋" w:hAnsi="仿宋" w:eastAsia="仿宋" w:cs="Arial"/>
                <w:color w:val="000000"/>
                <w:kern w:val="0"/>
                <w:sz w:val="24"/>
              </w:rPr>
            </w:pPr>
            <w:r>
              <w:rPr>
                <w:rFonts w:hint="eastAsia" w:ascii="仿宋" w:hAnsi="仿宋" w:eastAsia="仿宋" w:cs="Arial"/>
                <w:color w:val="000000"/>
                <w:kern w:val="0"/>
                <w:sz w:val="24"/>
                <w:lang w:val="en-US" w:eastAsia="zh-CN"/>
              </w:rPr>
              <w:t>0</w:t>
            </w:r>
            <w:r>
              <w:rPr>
                <w:rFonts w:hint="eastAsia" w:ascii="仿宋" w:hAnsi="仿宋" w:eastAsia="仿宋" w:cs="Arial"/>
                <w:color w:val="000000"/>
                <w:kern w:val="0"/>
                <w:sz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3651" w:type="dxa"/>
            <w:gridSpan w:val="2"/>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人员经费合计</w:t>
            </w:r>
          </w:p>
        </w:tc>
        <w:tc>
          <w:tcPr>
            <w:tcW w:w="886" w:type="dxa"/>
            <w:vAlign w:val="center"/>
          </w:tcPr>
          <w:p>
            <w:pPr>
              <w:widowControl/>
              <w:jc w:val="right"/>
              <w:rPr>
                <w:rFonts w:ascii="宋体" w:hAnsi="宋体" w:eastAsia="宋体" w:cs="Arial"/>
                <w:color w:val="000000"/>
                <w:kern w:val="0"/>
                <w:sz w:val="22"/>
                <w:szCs w:val="22"/>
              </w:rPr>
            </w:pPr>
            <w:r>
              <w:rPr>
                <w:rFonts w:hint="eastAsia" w:ascii="宋体" w:hAnsi="宋体" w:cs="Arial"/>
                <w:color w:val="000000"/>
                <w:kern w:val="0"/>
                <w:sz w:val="22"/>
                <w:szCs w:val="22"/>
                <w:lang w:val="en-US" w:eastAsia="zh-CN"/>
              </w:rPr>
              <w:t>159.25</w:t>
            </w:r>
            <w:r>
              <w:rPr>
                <w:rFonts w:hint="eastAsia" w:ascii="宋体" w:hAnsi="宋体" w:eastAsia="宋体" w:cs="Arial"/>
                <w:color w:val="000000"/>
                <w:kern w:val="0"/>
                <w:sz w:val="22"/>
                <w:szCs w:val="22"/>
              </w:rPr>
              <w:t>　</w:t>
            </w:r>
          </w:p>
        </w:tc>
        <w:tc>
          <w:tcPr>
            <w:tcW w:w="4523" w:type="dxa"/>
            <w:gridSpan w:val="3"/>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公用经费合计</w:t>
            </w:r>
            <w:r>
              <w:rPr>
                <w:rFonts w:hint="eastAsia" w:ascii="宋体" w:hAnsi="宋体" w:cs="宋体"/>
                <w:color w:val="000000"/>
                <w:kern w:val="0"/>
                <w:sz w:val="24"/>
                <w:lang w:val="en-US" w:eastAsia="zh-CN"/>
              </w:rPr>
              <w:t xml:space="preserve">               416.84</w:t>
            </w:r>
          </w:p>
        </w:tc>
      </w:tr>
    </w:tbl>
    <w:p>
      <w:pPr>
        <w:snapToGrid w:val="0"/>
        <w:spacing w:beforeLines="0" w:afterLines="0" w:line="336" w:lineRule="auto"/>
        <w:rPr>
          <w:rFonts w:ascii="仿宋_GB2312" w:eastAsia="仿宋_GB2312"/>
          <w:sz w:val="28"/>
          <w:szCs w:val="28"/>
        </w:rPr>
      </w:pPr>
      <w:r>
        <w:rPr>
          <w:rFonts w:hint="eastAsia" w:ascii="仿宋_GB2312" w:eastAsia="仿宋_GB2312"/>
          <w:sz w:val="28"/>
          <w:szCs w:val="28"/>
        </w:rPr>
        <w:t>注：本表反映部门本年度一般公共预算财政拨款基本支出明细情况。有关填表说明：</w:t>
      </w:r>
    </w:p>
    <w:p>
      <w:pPr>
        <w:snapToGrid w:val="0"/>
        <w:spacing w:beforeLines="0" w:afterLines="0" w:line="336" w:lineRule="auto"/>
        <w:rPr>
          <w:rFonts w:ascii="仿宋_GB2312" w:eastAsia="仿宋_GB2312"/>
          <w:sz w:val="24"/>
          <w:szCs w:val="24"/>
        </w:rPr>
      </w:pPr>
      <w:r>
        <w:rPr>
          <w:rFonts w:hint="eastAsia" w:ascii="仿宋_GB2312" w:eastAsia="仿宋_GB2312"/>
          <w:sz w:val="24"/>
          <w:szCs w:val="24"/>
        </w:rPr>
        <w:t>（1）本表数据填列当年决算数，以“万元”为金额单位，保留两位小数。</w:t>
      </w:r>
    </w:p>
    <w:p>
      <w:pPr>
        <w:snapToGrid w:val="0"/>
        <w:spacing w:beforeLines="0" w:afterLines="0" w:line="336" w:lineRule="auto"/>
        <w:rPr>
          <w:rFonts w:ascii="仿宋_GB2312" w:eastAsia="仿宋_GB2312"/>
          <w:sz w:val="24"/>
          <w:szCs w:val="24"/>
        </w:rPr>
      </w:pPr>
      <w:r>
        <w:rPr>
          <w:rFonts w:hint="eastAsia" w:ascii="仿宋_GB2312" w:hAnsi="宋体" w:eastAsia="仿宋_GB2312"/>
          <w:sz w:val="24"/>
          <w:szCs w:val="24"/>
        </w:rPr>
        <w:t>（2）</w:t>
      </w:r>
      <w:r>
        <w:rPr>
          <w:rFonts w:hint="eastAsia" w:ascii="仿宋_GB2312" w:eastAsia="仿宋_GB2312"/>
          <w:sz w:val="24"/>
          <w:szCs w:val="24"/>
        </w:rPr>
        <w:t>本表经济分类科目填列到款级支出科目，没有发生数的支出科目不用填列。</w:t>
      </w:r>
    </w:p>
    <w:p>
      <w:pPr>
        <w:snapToGrid w:val="0"/>
        <w:spacing w:beforeLines="0" w:afterLines="0" w:line="336" w:lineRule="auto"/>
        <w:rPr>
          <w:rFonts w:ascii="仿宋_GB2312" w:eastAsia="仿宋_GB2312"/>
          <w:sz w:val="24"/>
          <w:szCs w:val="24"/>
        </w:rPr>
      </w:pPr>
      <w:r>
        <w:rPr>
          <w:rFonts w:hint="eastAsia" w:ascii="仿宋_GB2312" w:hAnsi="宋体" w:eastAsia="仿宋_GB2312"/>
          <w:sz w:val="24"/>
          <w:szCs w:val="24"/>
        </w:rPr>
        <w:t>（3）</w:t>
      </w:r>
      <w:r>
        <w:rPr>
          <w:rFonts w:hint="eastAsia" w:ascii="仿宋_GB2312" w:eastAsia="仿宋_GB2312"/>
          <w:sz w:val="24"/>
          <w:szCs w:val="24"/>
        </w:rPr>
        <w:t>此表没有发生数据的，在合计行填“0”，并在该表下方附简要说明。</w:t>
      </w:r>
    </w:p>
    <w:p>
      <w:pPr>
        <w:snapToGrid w:val="0"/>
        <w:spacing w:beforeLines="0" w:afterLines="0" w:line="336" w:lineRule="auto"/>
        <w:rPr>
          <w:rFonts w:ascii="仿宋_GB2312" w:eastAsia="仿宋_GB2312"/>
          <w:sz w:val="28"/>
          <w:szCs w:val="28"/>
        </w:rPr>
      </w:pPr>
      <w:r>
        <w:rPr>
          <w:rFonts w:hint="eastAsia" w:ascii="仿宋_GB2312" w:eastAsia="仿宋_GB2312"/>
          <w:sz w:val="24"/>
          <w:szCs w:val="24"/>
        </w:rPr>
        <w:t>（4）该表数据来源于部门决算报表中的《一般公共预算财政拨款基本支出决算明细表》（财决08-1表）。</w:t>
      </w:r>
    </w:p>
    <w:p>
      <w:pPr>
        <w:numPr>
          <w:ilvl w:val="0"/>
          <w:numId w:val="0"/>
        </w:numPr>
        <w:ind w:leftChars="0"/>
        <w:rPr>
          <w:rFonts w:hint="eastAsia" w:ascii="仿宋_GB2312" w:eastAsia="仿宋_GB2312"/>
          <w:sz w:val="28"/>
          <w:szCs w:val="28"/>
        </w:rPr>
      </w:pPr>
    </w:p>
    <w:tbl>
      <w:tblPr>
        <w:tblStyle w:val="6"/>
        <w:tblW w:w="9215" w:type="dxa"/>
        <w:tblInd w:w="-176" w:type="dxa"/>
        <w:tblLayout w:type="fixed"/>
        <w:tblCellMar>
          <w:top w:w="0" w:type="dxa"/>
          <w:left w:w="108" w:type="dxa"/>
          <w:bottom w:w="0" w:type="dxa"/>
          <w:right w:w="108" w:type="dxa"/>
        </w:tblCellMar>
      </w:tblPr>
      <w:tblGrid>
        <w:gridCol w:w="269"/>
        <w:gridCol w:w="532"/>
        <w:gridCol w:w="151"/>
        <w:gridCol w:w="373"/>
        <w:gridCol w:w="245"/>
        <w:gridCol w:w="713"/>
        <w:gridCol w:w="709"/>
        <w:gridCol w:w="127"/>
        <w:gridCol w:w="704"/>
        <w:gridCol w:w="289"/>
        <w:gridCol w:w="515"/>
        <w:gridCol w:w="529"/>
        <w:gridCol w:w="264"/>
        <w:gridCol w:w="703"/>
        <w:gridCol w:w="32"/>
        <w:gridCol w:w="645"/>
        <w:gridCol w:w="155"/>
        <w:gridCol w:w="663"/>
        <w:gridCol w:w="305"/>
        <w:gridCol w:w="436"/>
        <w:gridCol w:w="698"/>
        <w:gridCol w:w="158"/>
      </w:tblGrid>
      <w:tr>
        <w:tblPrEx>
          <w:tblLayout w:type="fixed"/>
          <w:tblCellMar>
            <w:top w:w="0" w:type="dxa"/>
            <w:left w:w="108" w:type="dxa"/>
            <w:bottom w:w="0" w:type="dxa"/>
            <w:right w:w="108" w:type="dxa"/>
          </w:tblCellMar>
        </w:tblPrEx>
        <w:trPr>
          <w:trHeight w:val="600" w:hRule="atLeast"/>
        </w:trPr>
        <w:tc>
          <w:tcPr>
            <w:tcW w:w="9215" w:type="dxa"/>
            <w:gridSpan w:val="22"/>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lang w:eastAsia="zh-CN"/>
              </w:rPr>
              <w:t>一般公共预算</w:t>
            </w:r>
            <w:r>
              <w:rPr>
                <w:rFonts w:hint="eastAsia" w:ascii="华文中宋" w:hAnsi="华文中宋" w:eastAsia="华文中宋" w:cs="宋体"/>
                <w:kern w:val="0"/>
                <w:sz w:val="32"/>
                <w:szCs w:val="32"/>
              </w:rPr>
              <w:t>财政拨款“三公”经费支出决算表</w:t>
            </w:r>
          </w:p>
        </w:tc>
      </w:tr>
      <w:tr>
        <w:tblPrEx>
          <w:tblLayout w:type="fixed"/>
          <w:tblCellMar>
            <w:top w:w="0" w:type="dxa"/>
            <w:left w:w="108" w:type="dxa"/>
            <w:bottom w:w="0" w:type="dxa"/>
            <w:right w:w="108" w:type="dxa"/>
          </w:tblCellMar>
        </w:tblPrEx>
        <w:trPr>
          <w:gridBefore w:val="1"/>
          <w:gridAfter w:val="1"/>
          <w:wBefore w:w="269" w:type="dxa"/>
          <w:wAfter w:w="158" w:type="dxa"/>
          <w:trHeight w:val="222" w:hRule="atLeast"/>
        </w:trPr>
        <w:tc>
          <w:tcPr>
            <w:tcW w:w="683" w:type="dxa"/>
            <w:gridSpan w:val="2"/>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7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94" w:type="dxa"/>
            <w:gridSpan w:val="4"/>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gridSpan w:val="3"/>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gridSpan w:val="2"/>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公开07表</w:t>
            </w:r>
          </w:p>
        </w:tc>
      </w:tr>
      <w:tr>
        <w:tblPrEx>
          <w:tblLayout w:type="fixed"/>
          <w:tblCellMar>
            <w:top w:w="0" w:type="dxa"/>
            <w:left w:w="108" w:type="dxa"/>
            <w:bottom w:w="0" w:type="dxa"/>
            <w:right w:w="108" w:type="dxa"/>
          </w:tblCellMar>
        </w:tblPrEx>
        <w:trPr>
          <w:gridBefore w:val="1"/>
          <w:gridAfter w:val="1"/>
          <w:wBefore w:w="269" w:type="dxa"/>
          <w:wAfter w:w="158" w:type="dxa"/>
          <w:trHeight w:val="300" w:hRule="atLeast"/>
        </w:trPr>
        <w:tc>
          <w:tcPr>
            <w:tcW w:w="1056" w:type="dxa"/>
            <w:gridSpan w:val="3"/>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794" w:type="dxa"/>
            <w:gridSpan w:val="4"/>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gridSpan w:val="2"/>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gridSpan w:val="3"/>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gridSpan w:val="2"/>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gridSpan w:val="2"/>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559" w:hRule="atLeast"/>
        </w:trPr>
        <w:tc>
          <w:tcPr>
            <w:tcW w:w="4627" w:type="dxa"/>
            <w:gridSpan w:val="11"/>
            <w:tcBorders>
              <w:top w:val="single" w:color="auto" w:sz="8"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2016</w:t>
            </w:r>
            <w:r>
              <w:rPr>
                <w:rFonts w:hint="eastAsia" w:ascii="宋体" w:hAnsi="宋体" w:cs="宋体"/>
                <w:kern w:val="0"/>
                <w:sz w:val="22"/>
                <w:szCs w:val="22"/>
              </w:rPr>
              <w:t>年度预算数</w:t>
            </w:r>
          </w:p>
        </w:tc>
        <w:tc>
          <w:tcPr>
            <w:tcW w:w="4588" w:type="dxa"/>
            <w:gridSpan w:val="11"/>
            <w:tcBorders>
              <w:top w:val="single" w:color="auto" w:sz="8" w:space="0"/>
              <w:left w:val="nil"/>
              <w:bottom w:val="single" w:color="auto" w:sz="4" w:space="0"/>
              <w:right w:val="single" w:color="000000"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lang w:val="en-US" w:eastAsia="zh-CN"/>
              </w:rPr>
              <w:t>2016</w:t>
            </w:r>
            <w:r>
              <w:rPr>
                <w:rFonts w:hint="eastAsia" w:ascii="宋体" w:hAnsi="宋体" w:cs="宋体"/>
                <w:kern w:val="0"/>
                <w:sz w:val="22"/>
                <w:szCs w:val="22"/>
              </w:rPr>
              <w:t>年度决算数</w:t>
            </w:r>
          </w:p>
        </w:tc>
      </w:tr>
      <w:tr>
        <w:tblPrEx>
          <w:tblLayout w:type="fixed"/>
          <w:tblCellMar>
            <w:top w:w="0" w:type="dxa"/>
            <w:left w:w="108" w:type="dxa"/>
            <w:bottom w:w="0" w:type="dxa"/>
            <w:right w:w="108" w:type="dxa"/>
          </w:tblCellMar>
        </w:tblPrEx>
        <w:trPr>
          <w:trHeight w:val="600" w:hRule="atLeast"/>
        </w:trPr>
        <w:tc>
          <w:tcPr>
            <w:tcW w:w="801" w:type="dxa"/>
            <w:gridSpan w:val="2"/>
            <w:vMerge w:val="restart"/>
            <w:tcBorders>
              <w:top w:val="nil"/>
              <w:left w:val="single" w:color="auto" w:sz="8"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合计</w:t>
            </w:r>
          </w:p>
        </w:tc>
        <w:tc>
          <w:tcPr>
            <w:tcW w:w="769" w:type="dxa"/>
            <w:gridSpan w:val="3"/>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因公出国（境）费</w:t>
            </w:r>
          </w:p>
        </w:tc>
        <w:tc>
          <w:tcPr>
            <w:tcW w:w="2253"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公务用车购置及运行费</w:t>
            </w:r>
          </w:p>
        </w:tc>
        <w:tc>
          <w:tcPr>
            <w:tcW w:w="804" w:type="dxa"/>
            <w:gridSpan w:val="2"/>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公务接待费</w:t>
            </w:r>
          </w:p>
        </w:tc>
        <w:tc>
          <w:tcPr>
            <w:tcW w:w="793" w:type="dxa"/>
            <w:gridSpan w:val="2"/>
            <w:vMerge w:val="restart"/>
            <w:tcBorders>
              <w:top w:val="nil"/>
              <w:left w:val="nil"/>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合计</w:t>
            </w:r>
          </w:p>
        </w:tc>
        <w:tc>
          <w:tcPr>
            <w:tcW w:w="73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因公出国（境）费</w:t>
            </w:r>
          </w:p>
        </w:tc>
        <w:tc>
          <w:tcPr>
            <w:tcW w:w="2204" w:type="dxa"/>
            <w:gridSpan w:val="5"/>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公务用车购置及运行费</w:t>
            </w:r>
          </w:p>
        </w:tc>
        <w:tc>
          <w:tcPr>
            <w:tcW w:w="856" w:type="dxa"/>
            <w:gridSpan w:val="2"/>
            <w:vMerge w:val="restart"/>
            <w:tcBorders>
              <w:top w:val="nil"/>
              <w:left w:val="single" w:color="auto" w:sz="4" w:space="0"/>
              <w:bottom w:val="single" w:color="000000"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公务接待费</w:t>
            </w:r>
          </w:p>
        </w:tc>
      </w:tr>
      <w:tr>
        <w:tblPrEx>
          <w:tblLayout w:type="fixed"/>
        </w:tblPrEx>
        <w:trPr>
          <w:trHeight w:val="600" w:hRule="atLeast"/>
        </w:trPr>
        <w:tc>
          <w:tcPr>
            <w:tcW w:w="801" w:type="dxa"/>
            <w:gridSpan w:val="2"/>
            <w:vMerge w:val="continue"/>
            <w:tcBorders>
              <w:top w:val="nil"/>
              <w:left w:val="single" w:color="auto" w:sz="8"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769" w:type="dxa"/>
            <w:gridSpan w:val="3"/>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713"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小计</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购置费</w:t>
            </w:r>
          </w:p>
        </w:tc>
        <w:tc>
          <w:tcPr>
            <w:tcW w:w="8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运行费</w:t>
            </w:r>
          </w:p>
        </w:tc>
        <w:tc>
          <w:tcPr>
            <w:tcW w:w="804"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2"/>
                <w:szCs w:val="22"/>
              </w:rPr>
            </w:pPr>
          </w:p>
        </w:tc>
        <w:tc>
          <w:tcPr>
            <w:tcW w:w="793" w:type="dxa"/>
            <w:gridSpan w:val="2"/>
            <w:vMerge w:val="continue"/>
            <w:tcBorders>
              <w:top w:val="nil"/>
              <w:left w:val="nil"/>
              <w:bottom w:val="single" w:color="000000" w:sz="4" w:space="0"/>
              <w:right w:val="single" w:color="auto" w:sz="4" w:space="0"/>
            </w:tcBorders>
            <w:vAlign w:val="center"/>
          </w:tcPr>
          <w:p>
            <w:pPr>
              <w:widowControl/>
              <w:jc w:val="left"/>
              <w:rPr>
                <w:rFonts w:ascii="宋体" w:hAnsi="宋体" w:cs="宋体"/>
                <w:kern w:val="0"/>
                <w:sz w:val="22"/>
                <w:szCs w:val="22"/>
              </w:rPr>
            </w:pPr>
          </w:p>
        </w:tc>
        <w:tc>
          <w:tcPr>
            <w:tcW w:w="73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2"/>
                <w:szCs w:val="22"/>
              </w:rPr>
            </w:pPr>
          </w:p>
        </w:tc>
        <w:tc>
          <w:tcPr>
            <w:tcW w:w="64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小计</w:t>
            </w:r>
          </w:p>
        </w:tc>
        <w:tc>
          <w:tcPr>
            <w:tcW w:w="8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购置费</w:t>
            </w:r>
          </w:p>
        </w:tc>
        <w:tc>
          <w:tcPr>
            <w:tcW w:w="74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公务用车</w:t>
            </w:r>
            <w:r>
              <w:rPr>
                <w:rFonts w:hint="eastAsia" w:ascii="宋体" w:hAnsi="宋体" w:cs="宋体"/>
                <w:kern w:val="0"/>
                <w:sz w:val="22"/>
                <w:szCs w:val="22"/>
              </w:rPr>
              <w:br w:type="textWrapping"/>
            </w:r>
            <w:r>
              <w:rPr>
                <w:rFonts w:hint="eastAsia" w:ascii="宋体" w:hAnsi="宋体" w:cs="宋体"/>
                <w:kern w:val="0"/>
                <w:sz w:val="22"/>
                <w:szCs w:val="22"/>
              </w:rPr>
              <w:t>运行费</w:t>
            </w:r>
          </w:p>
        </w:tc>
        <w:tc>
          <w:tcPr>
            <w:tcW w:w="856" w:type="dxa"/>
            <w:gridSpan w:val="2"/>
            <w:vMerge w:val="continue"/>
            <w:tcBorders>
              <w:top w:val="nil"/>
              <w:left w:val="single" w:color="auto" w:sz="4" w:space="0"/>
              <w:bottom w:val="single" w:color="000000" w:sz="4" w:space="0"/>
              <w:right w:val="single" w:color="auto" w:sz="8" w:space="0"/>
            </w:tcBorders>
            <w:vAlign w:val="center"/>
          </w:tcPr>
          <w:p>
            <w:pPr>
              <w:widowControl/>
              <w:jc w:val="left"/>
              <w:rPr>
                <w:rFonts w:ascii="宋体" w:hAnsi="宋体" w:cs="宋体"/>
                <w:kern w:val="0"/>
                <w:sz w:val="22"/>
                <w:szCs w:val="22"/>
              </w:rPr>
            </w:pPr>
          </w:p>
        </w:tc>
      </w:tr>
      <w:tr>
        <w:tblPrEx>
          <w:tblLayout w:type="fixed"/>
          <w:tblCellMar>
            <w:top w:w="0" w:type="dxa"/>
            <w:left w:w="108" w:type="dxa"/>
            <w:bottom w:w="0" w:type="dxa"/>
            <w:right w:w="108" w:type="dxa"/>
          </w:tblCellMar>
        </w:tblPrEx>
        <w:trPr>
          <w:trHeight w:val="559" w:hRule="atLeast"/>
        </w:trPr>
        <w:tc>
          <w:tcPr>
            <w:tcW w:w="801" w:type="dxa"/>
            <w:gridSpan w:val="2"/>
            <w:tcBorders>
              <w:top w:val="nil"/>
              <w:left w:val="single" w:color="auto" w:sz="8" w:space="0"/>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769" w:type="dxa"/>
            <w:gridSpan w:val="3"/>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713"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8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80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793"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735"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645" w:type="dxa"/>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818"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74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11</w:t>
            </w:r>
          </w:p>
        </w:tc>
        <w:tc>
          <w:tcPr>
            <w:tcW w:w="856" w:type="dxa"/>
            <w:gridSpan w:val="2"/>
            <w:tcBorders>
              <w:top w:val="nil"/>
              <w:left w:val="nil"/>
              <w:bottom w:val="single" w:color="auto" w:sz="4" w:space="0"/>
              <w:right w:val="single" w:color="auto" w:sz="8" w:space="0"/>
            </w:tcBorders>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r>
      <w:tr>
        <w:tblPrEx>
          <w:tblLayout w:type="fixed"/>
          <w:tblCellMar>
            <w:top w:w="0" w:type="dxa"/>
            <w:left w:w="108" w:type="dxa"/>
            <w:bottom w:w="0" w:type="dxa"/>
            <w:right w:w="108" w:type="dxa"/>
          </w:tblCellMar>
        </w:tblPrEx>
        <w:trPr>
          <w:trHeight w:val="855" w:hRule="atLeast"/>
        </w:trPr>
        <w:tc>
          <w:tcPr>
            <w:tcW w:w="801" w:type="dxa"/>
            <w:gridSpan w:val="2"/>
            <w:tcBorders>
              <w:top w:val="nil"/>
              <w:left w:val="single" w:color="auto" w:sz="8" w:space="0"/>
              <w:bottom w:val="single" w:color="auto" w:sz="8"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p>
        </w:tc>
        <w:tc>
          <w:tcPr>
            <w:tcW w:w="769" w:type="dxa"/>
            <w:gridSpan w:val="3"/>
            <w:tcBorders>
              <w:top w:val="nil"/>
              <w:left w:val="nil"/>
              <w:bottom w:val="single" w:color="auto" w:sz="8" w:space="0"/>
              <w:right w:val="single" w:color="auto" w:sz="4" w:space="0"/>
            </w:tcBorders>
            <w:vAlign w:val="center"/>
          </w:tcPr>
          <w:p>
            <w:pPr>
              <w:jc w:val="center"/>
              <w:rPr>
                <w:rFonts w:ascii="宋体" w:hAnsi="宋体" w:cs="宋体"/>
                <w:kern w:val="0"/>
                <w:sz w:val="20"/>
                <w:szCs w:val="20"/>
              </w:rPr>
            </w:pPr>
          </w:p>
        </w:tc>
        <w:tc>
          <w:tcPr>
            <w:tcW w:w="713" w:type="dxa"/>
            <w:tcBorders>
              <w:top w:val="nil"/>
              <w:left w:val="nil"/>
              <w:bottom w:val="single" w:color="auto" w:sz="8"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p>
        </w:tc>
        <w:tc>
          <w:tcPr>
            <w:tcW w:w="709" w:type="dxa"/>
            <w:tcBorders>
              <w:top w:val="nil"/>
              <w:left w:val="nil"/>
              <w:bottom w:val="single" w:color="auto" w:sz="8" w:space="0"/>
              <w:right w:val="single" w:color="auto" w:sz="4" w:space="0"/>
            </w:tcBorders>
            <w:vAlign w:val="center"/>
          </w:tcPr>
          <w:p>
            <w:pPr>
              <w:jc w:val="center"/>
              <w:rPr>
                <w:rFonts w:ascii="宋体" w:hAnsi="宋体" w:cs="宋体"/>
                <w:kern w:val="0"/>
                <w:sz w:val="20"/>
                <w:szCs w:val="20"/>
              </w:rPr>
            </w:pPr>
          </w:p>
        </w:tc>
        <w:tc>
          <w:tcPr>
            <w:tcW w:w="831" w:type="dxa"/>
            <w:gridSpan w:val="2"/>
            <w:tcBorders>
              <w:top w:val="nil"/>
              <w:left w:val="nil"/>
              <w:bottom w:val="single" w:color="auto" w:sz="8"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p>
        </w:tc>
        <w:tc>
          <w:tcPr>
            <w:tcW w:w="804" w:type="dxa"/>
            <w:gridSpan w:val="2"/>
            <w:tcBorders>
              <w:top w:val="nil"/>
              <w:left w:val="nil"/>
              <w:bottom w:val="single" w:color="auto" w:sz="8"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p>
        </w:tc>
        <w:tc>
          <w:tcPr>
            <w:tcW w:w="793" w:type="dxa"/>
            <w:gridSpan w:val="2"/>
            <w:tcBorders>
              <w:top w:val="nil"/>
              <w:left w:val="nil"/>
              <w:bottom w:val="single" w:color="auto" w:sz="8"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p>
        </w:tc>
        <w:tc>
          <w:tcPr>
            <w:tcW w:w="735" w:type="dxa"/>
            <w:gridSpan w:val="2"/>
            <w:tcBorders>
              <w:top w:val="nil"/>
              <w:left w:val="nil"/>
              <w:bottom w:val="single" w:color="auto" w:sz="8" w:space="0"/>
              <w:right w:val="single" w:color="auto" w:sz="4" w:space="0"/>
            </w:tcBorders>
            <w:vAlign w:val="center"/>
          </w:tcPr>
          <w:p>
            <w:pPr>
              <w:jc w:val="center"/>
              <w:rPr>
                <w:rFonts w:ascii="宋体" w:hAnsi="宋体" w:cs="宋体"/>
                <w:kern w:val="0"/>
                <w:sz w:val="20"/>
                <w:szCs w:val="20"/>
              </w:rPr>
            </w:pPr>
          </w:p>
        </w:tc>
        <w:tc>
          <w:tcPr>
            <w:tcW w:w="645" w:type="dxa"/>
            <w:tcBorders>
              <w:top w:val="nil"/>
              <w:left w:val="nil"/>
              <w:bottom w:val="single" w:color="auto" w:sz="8" w:space="0"/>
              <w:right w:val="single" w:color="auto" w:sz="4" w:space="0"/>
            </w:tcBorders>
            <w:vAlign w:val="center"/>
          </w:tcPr>
          <w:p>
            <w:pPr>
              <w:keepNext w:val="0"/>
              <w:keepLines w:val="0"/>
              <w:widowControl/>
              <w:suppressLineNumbers w:val="0"/>
              <w:jc w:val="center"/>
              <w:textAlignment w:val="center"/>
              <w:rPr>
                <w:rFonts w:ascii="宋体" w:hAnsi="宋体" w:cs="宋体"/>
                <w:kern w:val="0"/>
                <w:sz w:val="20"/>
                <w:szCs w:val="20"/>
              </w:rPr>
            </w:pPr>
          </w:p>
        </w:tc>
        <w:tc>
          <w:tcPr>
            <w:tcW w:w="818" w:type="dxa"/>
            <w:gridSpan w:val="2"/>
            <w:tcBorders>
              <w:top w:val="nil"/>
              <w:left w:val="nil"/>
              <w:bottom w:val="single" w:color="auto" w:sz="8" w:space="0"/>
              <w:right w:val="single" w:color="auto" w:sz="4" w:space="0"/>
            </w:tcBorders>
            <w:vAlign w:val="center"/>
          </w:tcPr>
          <w:p>
            <w:pPr>
              <w:jc w:val="center"/>
              <w:rPr>
                <w:rFonts w:ascii="宋体" w:hAnsi="宋体" w:cs="宋体"/>
                <w:kern w:val="0"/>
                <w:sz w:val="20"/>
                <w:szCs w:val="20"/>
              </w:rPr>
            </w:pPr>
          </w:p>
        </w:tc>
        <w:tc>
          <w:tcPr>
            <w:tcW w:w="741" w:type="dxa"/>
            <w:gridSpan w:val="2"/>
            <w:tcBorders>
              <w:top w:val="nil"/>
              <w:left w:val="nil"/>
              <w:bottom w:val="single" w:color="auto" w:sz="8" w:space="0"/>
              <w:right w:val="nil"/>
            </w:tcBorders>
            <w:vAlign w:val="center"/>
          </w:tcPr>
          <w:p>
            <w:pPr>
              <w:keepNext w:val="0"/>
              <w:keepLines w:val="0"/>
              <w:widowControl/>
              <w:suppressLineNumbers w:val="0"/>
              <w:jc w:val="center"/>
              <w:textAlignment w:val="center"/>
              <w:rPr>
                <w:rFonts w:ascii="宋体" w:hAnsi="宋体" w:cs="宋体"/>
                <w:kern w:val="0"/>
                <w:sz w:val="20"/>
                <w:szCs w:val="20"/>
              </w:rPr>
            </w:pPr>
          </w:p>
        </w:tc>
        <w:tc>
          <w:tcPr>
            <w:tcW w:w="856" w:type="dxa"/>
            <w:gridSpan w:val="2"/>
            <w:tcBorders>
              <w:top w:val="nil"/>
              <w:left w:val="single" w:color="auto" w:sz="4" w:space="0"/>
              <w:bottom w:val="single" w:color="auto" w:sz="8" w:space="0"/>
              <w:right w:val="single" w:color="auto" w:sz="8" w:space="0"/>
            </w:tcBorders>
            <w:vAlign w:val="center"/>
          </w:tcPr>
          <w:p>
            <w:pPr>
              <w:keepNext w:val="0"/>
              <w:keepLines w:val="0"/>
              <w:widowControl/>
              <w:suppressLineNumbers w:val="0"/>
              <w:jc w:val="center"/>
              <w:textAlignment w:val="center"/>
              <w:rPr>
                <w:rFonts w:ascii="宋体" w:hAnsi="宋体" w:cs="宋体"/>
                <w:kern w:val="0"/>
                <w:sz w:val="20"/>
                <w:szCs w:val="20"/>
              </w:rPr>
            </w:pPr>
          </w:p>
        </w:tc>
      </w:tr>
    </w:tbl>
    <w:p>
      <w:pPr>
        <w:spacing w:line="288" w:lineRule="auto"/>
        <w:rPr>
          <w:rFonts w:ascii="仿宋_GB2312" w:eastAsia="仿宋_GB2312"/>
          <w:sz w:val="28"/>
          <w:szCs w:val="28"/>
        </w:rPr>
      </w:pPr>
      <w:r>
        <w:rPr>
          <w:rFonts w:hint="eastAsia" w:ascii="仿宋_GB2312" w:eastAsia="仿宋_GB2312"/>
          <w:sz w:val="28"/>
          <w:szCs w:val="28"/>
        </w:rPr>
        <w:t>注：本表反映部门本年度财政拨款“三公”经费支出情况。有关填表说明：</w:t>
      </w:r>
    </w:p>
    <w:p>
      <w:pPr>
        <w:spacing w:line="580" w:lineRule="exact"/>
        <w:ind w:firstLine="560" w:firstLineChars="200"/>
        <w:rPr>
          <w:rFonts w:ascii="仿宋_GB2312" w:eastAsia="仿宋_GB2312"/>
          <w:sz w:val="28"/>
          <w:szCs w:val="28"/>
        </w:rPr>
      </w:pPr>
      <w:r>
        <w:rPr>
          <w:rFonts w:hint="eastAsia" w:ascii="仿宋_GB2312" w:eastAsia="仿宋_GB2312"/>
          <w:sz w:val="28"/>
          <w:szCs w:val="28"/>
        </w:rPr>
        <w:t>（1）本表数据填列数据以“万元”为金额单位，保留两位小数。</w:t>
      </w:r>
    </w:p>
    <w:p>
      <w:pPr>
        <w:spacing w:line="580" w:lineRule="exact"/>
        <w:ind w:firstLine="560" w:firstLineChars="200"/>
        <w:rPr>
          <w:rFonts w:ascii="仿宋_GB2312" w:eastAsia="仿宋_GB2312"/>
          <w:sz w:val="28"/>
          <w:szCs w:val="28"/>
        </w:rPr>
      </w:pPr>
      <w:r>
        <w:rPr>
          <w:rFonts w:hint="eastAsia" w:ascii="仿宋_GB2312" w:hAnsi="宋体" w:eastAsia="仿宋_GB2312"/>
          <w:sz w:val="28"/>
          <w:szCs w:val="28"/>
        </w:rPr>
        <w:t>（2）</w:t>
      </w:r>
      <w:r>
        <w:rPr>
          <w:rFonts w:hint="eastAsia" w:ascii="仿宋_GB2312" w:eastAsia="仿宋_GB2312"/>
          <w:sz w:val="28"/>
          <w:szCs w:val="28"/>
          <w:lang w:val="en-US" w:eastAsia="zh-CN"/>
        </w:rPr>
        <w:t>2016</w:t>
      </w:r>
      <w:r>
        <w:rPr>
          <w:rFonts w:hint="eastAsia" w:ascii="仿宋_GB2312" w:eastAsia="仿宋_GB2312"/>
          <w:sz w:val="28"/>
          <w:szCs w:val="28"/>
        </w:rPr>
        <w:t>年预算数为“三公”年初预算数，决算数包括当年财政拨款预算和以前年度结转资金安排的实际支出。</w:t>
      </w:r>
    </w:p>
    <w:p>
      <w:pPr>
        <w:spacing w:line="580" w:lineRule="exact"/>
        <w:ind w:firstLine="560" w:firstLineChars="200"/>
        <w:rPr>
          <w:rFonts w:ascii="仿宋_GB2312" w:hAnsi="宋体" w:eastAsia="仿宋_GB2312"/>
          <w:sz w:val="28"/>
          <w:szCs w:val="28"/>
        </w:rPr>
      </w:pPr>
      <w:r>
        <w:rPr>
          <w:rFonts w:hint="eastAsia" w:ascii="仿宋_GB2312" w:hAnsi="宋体" w:eastAsia="仿宋_GB2312"/>
          <w:sz w:val="28"/>
          <w:szCs w:val="28"/>
        </w:rPr>
        <w:t>（3）1栏=（2+3+6）栏，3栏=（4+5）栏。7栏=（8+9+12）栏。9栏=（10+11）栏。</w:t>
      </w:r>
    </w:p>
    <w:p>
      <w:pPr>
        <w:numPr>
          <w:ilvl w:val="0"/>
          <w:numId w:val="4"/>
        </w:numPr>
        <w:ind w:leftChars="0"/>
        <w:rPr>
          <w:rFonts w:hint="eastAsia" w:ascii="仿宋_GB2312" w:eastAsia="仿宋_GB2312"/>
          <w:sz w:val="28"/>
          <w:szCs w:val="28"/>
        </w:rPr>
      </w:pPr>
      <w:r>
        <w:rPr>
          <w:rFonts w:hint="eastAsia" w:ascii="仿宋_GB2312" w:eastAsia="仿宋_GB2312"/>
          <w:sz w:val="28"/>
          <w:szCs w:val="28"/>
        </w:rPr>
        <w:t>“三公”数据合计为零的，在合计栏填列“0”，并在决算情况说明中予以说明。</w:t>
      </w:r>
    </w:p>
    <w:p>
      <w:pPr>
        <w:widowControl w:val="0"/>
        <w:numPr>
          <w:ilvl w:val="0"/>
          <w:numId w:val="0"/>
        </w:numPr>
        <w:jc w:val="both"/>
        <w:rPr>
          <w:rFonts w:hint="eastAsia" w:ascii="仿宋_GB2312" w:eastAsia="仿宋_GB2312"/>
          <w:sz w:val="28"/>
          <w:szCs w:val="28"/>
        </w:rPr>
      </w:pPr>
    </w:p>
    <w:p>
      <w:pPr>
        <w:widowControl w:val="0"/>
        <w:numPr>
          <w:ilvl w:val="0"/>
          <w:numId w:val="0"/>
        </w:numPr>
        <w:jc w:val="both"/>
        <w:rPr>
          <w:rFonts w:hint="eastAsia" w:ascii="仿宋_GB2312" w:eastAsia="仿宋_GB2312"/>
          <w:sz w:val="28"/>
          <w:szCs w:val="28"/>
        </w:rPr>
      </w:pPr>
    </w:p>
    <w:p>
      <w:pPr>
        <w:widowControl w:val="0"/>
        <w:numPr>
          <w:ilvl w:val="0"/>
          <w:numId w:val="0"/>
        </w:numPr>
        <w:jc w:val="both"/>
        <w:rPr>
          <w:rFonts w:hint="eastAsia" w:ascii="仿宋_GB2312" w:eastAsia="仿宋_GB2312"/>
          <w:sz w:val="28"/>
          <w:szCs w:val="28"/>
        </w:rPr>
      </w:pPr>
    </w:p>
    <w:p>
      <w:pPr>
        <w:widowControl w:val="0"/>
        <w:numPr>
          <w:ilvl w:val="0"/>
          <w:numId w:val="0"/>
        </w:numPr>
        <w:jc w:val="both"/>
        <w:rPr>
          <w:rFonts w:hint="eastAsia" w:ascii="仿宋_GB2312" w:eastAsia="仿宋_GB2312"/>
          <w:sz w:val="28"/>
          <w:szCs w:val="28"/>
        </w:rPr>
      </w:pPr>
    </w:p>
    <w:p>
      <w:pPr>
        <w:widowControl w:val="0"/>
        <w:numPr>
          <w:ilvl w:val="0"/>
          <w:numId w:val="0"/>
        </w:numPr>
        <w:jc w:val="both"/>
        <w:rPr>
          <w:rFonts w:hint="eastAsia" w:ascii="仿宋_GB2312" w:eastAsia="仿宋_GB2312"/>
          <w:sz w:val="28"/>
          <w:szCs w:val="28"/>
        </w:rPr>
      </w:pPr>
    </w:p>
    <w:tbl>
      <w:tblPr>
        <w:tblStyle w:val="6"/>
        <w:tblW w:w="8788" w:type="dxa"/>
        <w:tblInd w:w="93" w:type="dxa"/>
        <w:tblLayout w:type="fixed"/>
        <w:tblCellMar>
          <w:top w:w="0" w:type="dxa"/>
          <w:left w:w="108" w:type="dxa"/>
          <w:bottom w:w="0" w:type="dxa"/>
          <w:right w:w="108" w:type="dxa"/>
        </w:tblCellMar>
      </w:tblPr>
      <w:tblGrid>
        <w:gridCol w:w="683"/>
        <w:gridCol w:w="373"/>
        <w:gridCol w:w="1794"/>
        <w:gridCol w:w="993"/>
        <w:gridCol w:w="1044"/>
        <w:gridCol w:w="967"/>
        <w:gridCol w:w="832"/>
        <w:gridCol w:w="968"/>
        <w:gridCol w:w="1134"/>
      </w:tblGrid>
      <w:tr>
        <w:tblPrEx>
          <w:tblLayout w:type="fixed"/>
          <w:tblCellMar>
            <w:top w:w="0" w:type="dxa"/>
            <w:left w:w="108" w:type="dxa"/>
            <w:bottom w:w="0" w:type="dxa"/>
            <w:right w:w="108" w:type="dxa"/>
          </w:tblCellMar>
        </w:tblPrEx>
        <w:trPr>
          <w:trHeight w:val="600" w:hRule="atLeast"/>
        </w:trPr>
        <w:tc>
          <w:tcPr>
            <w:tcW w:w="8788" w:type="dxa"/>
            <w:gridSpan w:val="9"/>
            <w:shd w:val="clear" w:color="auto"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政府性基金预算财政拨款收入支出决算表</w:t>
            </w:r>
          </w:p>
        </w:tc>
      </w:tr>
      <w:tr>
        <w:tblPrEx>
          <w:tblLayout w:type="fixed"/>
          <w:tblCellMar>
            <w:top w:w="0" w:type="dxa"/>
            <w:left w:w="108" w:type="dxa"/>
            <w:bottom w:w="0" w:type="dxa"/>
            <w:right w:w="108" w:type="dxa"/>
          </w:tblCellMar>
        </w:tblPrEx>
        <w:trPr>
          <w:trHeight w:val="222" w:hRule="atLeast"/>
        </w:trPr>
        <w:tc>
          <w:tcPr>
            <w:tcW w:w="68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373"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94"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公开08表</w:t>
            </w:r>
          </w:p>
        </w:tc>
      </w:tr>
      <w:tr>
        <w:tblPrEx>
          <w:tblLayout w:type="fixed"/>
          <w:tblCellMar>
            <w:top w:w="0" w:type="dxa"/>
            <w:left w:w="108" w:type="dxa"/>
            <w:bottom w:w="0" w:type="dxa"/>
            <w:right w:w="108" w:type="dxa"/>
          </w:tblCellMar>
        </w:tblPrEx>
        <w:trPr>
          <w:trHeight w:val="300" w:hRule="atLeast"/>
        </w:trPr>
        <w:tc>
          <w:tcPr>
            <w:tcW w:w="1056" w:type="dxa"/>
            <w:gridSpan w:val="2"/>
            <w:shd w:val="clear" w:color="auto" w:fill="FFFFFF"/>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部门：</w:t>
            </w:r>
          </w:p>
        </w:tc>
        <w:tc>
          <w:tcPr>
            <w:tcW w:w="1794" w:type="dxa"/>
            <w:shd w:val="clear" w:color="auto" w:fill="FFFFFF"/>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993"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044"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7"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832" w:type="dxa"/>
            <w:tcBorders>
              <w:top w:val="nil"/>
              <w:left w:val="nil"/>
              <w:bottom w:val="single" w:color="auto" w:sz="8" w:space="0"/>
              <w:right w:val="nil"/>
            </w:tcBorders>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968" w:type="dxa"/>
            <w:shd w:val="clear" w:color="auto" w:fill="FFFFFF"/>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134" w:type="dxa"/>
            <w:shd w:val="clear" w:color="auto" w:fill="FFFFFF"/>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单位：万元</w:t>
            </w:r>
          </w:p>
        </w:tc>
      </w:tr>
      <w:tr>
        <w:tblPrEx>
          <w:tblLayout w:type="fixed"/>
          <w:tblCellMar>
            <w:top w:w="0" w:type="dxa"/>
            <w:left w:w="108" w:type="dxa"/>
            <w:bottom w:w="0" w:type="dxa"/>
            <w:right w:w="108" w:type="dxa"/>
          </w:tblCellMar>
        </w:tblPrEx>
        <w:trPr>
          <w:trHeight w:val="405" w:hRule="atLeast"/>
        </w:trPr>
        <w:tc>
          <w:tcPr>
            <w:tcW w:w="2850" w:type="dxa"/>
            <w:gridSpan w:val="3"/>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项 </w:t>
            </w:r>
            <w:r>
              <w:rPr>
                <w:rFonts w:hint="eastAsia" w:ascii="宋体" w:hAnsi="宋体" w:cs="宋体"/>
                <w:color w:val="000000"/>
                <w:kern w:val="0"/>
                <w:sz w:val="22"/>
                <w:szCs w:val="22"/>
              </w:rPr>
              <w:t xml:space="preserve">   </w:t>
            </w:r>
            <w:r>
              <w:rPr>
                <w:rFonts w:hint="eastAsia" w:ascii="宋体" w:hAnsi="宋体" w:cs="宋体"/>
                <w:kern w:val="0"/>
                <w:sz w:val="24"/>
              </w:rPr>
              <w:t>目</w:t>
            </w:r>
          </w:p>
        </w:tc>
        <w:tc>
          <w:tcPr>
            <w:tcW w:w="993"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年初结转和结余</w:t>
            </w:r>
          </w:p>
        </w:tc>
        <w:tc>
          <w:tcPr>
            <w:tcW w:w="104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本年收入</w:t>
            </w:r>
          </w:p>
        </w:tc>
        <w:tc>
          <w:tcPr>
            <w:tcW w:w="2767" w:type="dxa"/>
            <w:gridSpan w:val="3"/>
            <w:tcBorders>
              <w:top w:val="single" w:color="auto" w:sz="8" w:space="0"/>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本年支出</w:t>
            </w:r>
          </w:p>
        </w:tc>
        <w:tc>
          <w:tcPr>
            <w:tcW w:w="1134" w:type="dxa"/>
            <w:vMerge w:val="restart"/>
            <w:tcBorders>
              <w:top w:val="single" w:color="auto" w:sz="8" w:space="0"/>
              <w:left w:val="single" w:color="auto" w:sz="4" w:space="0"/>
              <w:bottom w:val="single" w:color="000000"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年末结转和结余</w:t>
            </w:r>
          </w:p>
        </w:tc>
      </w:tr>
      <w:tr>
        <w:tblPrEx>
          <w:tblLayout w:type="fixed"/>
          <w:tblCellMar>
            <w:top w:w="0" w:type="dxa"/>
            <w:left w:w="108" w:type="dxa"/>
            <w:bottom w:w="0" w:type="dxa"/>
            <w:right w:w="108" w:type="dxa"/>
          </w:tblCellMar>
        </w:tblPrEx>
        <w:trPr>
          <w:trHeight w:val="540" w:hRule="atLeast"/>
        </w:trPr>
        <w:tc>
          <w:tcPr>
            <w:tcW w:w="1056" w:type="dxa"/>
            <w:gridSpan w:val="2"/>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功能分类科目编码</w:t>
            </w:r>
          </w:p>
        </w:tc>
        <w:tc>
          <w:tcPr>
            <w:tcW w:w="1794"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科目名称</w:t>
            </w: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小计</w:t>
            </w:r>
          </w:p>
        </w:tc>
        <w:tc>
          <w:tcPr>
            <w:tcW w:w="832"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xml:space="preserve">基本支出  </w:t>
            </w:r>
          </w:p>
        </w:tc>
        <w:tc>
          <w:tcPr>
            <w:tcW w:w="968" w:type="dxa"/>
            <w:vMerge w:val="restart"/>
            <w:tcBorders>
              <w:top w:val="nil"/>
              <w:left w:val="single" w:color="auto" w:sz="4" w:space="0"/>
              <w:bottom w:val="single" w:color="000000"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项目支出</w:t>
            </w: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PrEx>
        <w:trPr>
          <w:trHeight w:val="360" w:hRule="atLeast"/>
        </w:trPr>
        <w:tc>
          <w:tcPr>
            <w:tcW w:w="1056"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7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3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8"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1056" w:type="dxa"/>
            <w:gridSpan w:val="2"/>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kern w:val="0"/>
                <w:sz w:val="24"/>
              </w:rPr>
            </w:pPr>
          </w:p>
        </w:tc>
        <w:tc>
          <w:tcPr>
            <w:tcW w:w="17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993"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0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83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968" w:type="dxa"/>
            <w:vMerge w:val="continue"/>
            <w:tcBorders>
              <w:top w:val="nil"/>
              <w:left w:val="single" w:color="auto" w:sz="4" w:space="0"/>
              <w:bottom w:val="single" w:color="000000" w:sz="4" w:space="0"/>
              <w:right w:val="nil"/>
            </w:tcBorders>
            <w:vAlign w:val="center"/>
          </w:tcPr>
          <w:p>
            <w:pPr>
              <w:widowControl/>
              <w:jc w:val="left"/>
              <w:rPr>
                <w:rFonts w:ascii="宋体" w:hAnsi="宋体" w:cs="宋体"/>
                <w:kern w:val="0"/>
                <w:sz w:val="24"/>
              </w:rPr>
            </w:pPr>
          </w:p>
        </w:tc>
        <w:tc>
          <w:tcPr>
            <w:tcW w:w="1134"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450" w:hRule="atLeast"/>
        </w:trPr>
        <w:tc>
          <w:tcPr>
            <w:tcW w:w="2850" w:type="dxa"/>
            <w:gridSpan w:val="3"/>
            <w:tcBorders>
              <w:top w:val="single" w:color="auto" w:sz="4" w:space="0"/>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栏次</w:t>
            </w:r>
          </w:p>
        </w:tc>
        <w:tc>
          <w:tcPr>
            <w:tcW w:w="993"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04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967"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83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968" w:type="dxa"/>
            <w:tcBorders>
              <w:top w:val="nil"/>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1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6</w:t>
            </w:r>
          </w:p>
        </w:tc>
      </w:tr>
      <w:tr>
        <w:tblPrEx>
          <w:tblLayout w:type="fixed"/>
          <w:tblCellMar>
            <w:top w:w="0" w:type="dxa"/>
            <w:left w:w="108" w:type="dxa"/>
            <w:bottom w:w="0" w:type="dxa"/>
            <w:right w:w="108" w:type="dxa"/>
          </w:tblCellMar>
        </w:tblPrEx>
        <w:trPr>
          <w:trHeight w:val="434" w:hRule="atLeast"/>
        </w:trPr>
        <w:tc>
          <w:tcPr>
            <w:tcW w:w="2850" w:type="dxa"/>
            <w:gridSpan w:val="3"/>
            <w:tcBorders>
              <w:top w:val="nil"/>
              <w:left w:val="single" w:color="auto" w:sz="8" w:space="0"/>
              <w:bottom w:val="single" w:color="auto" w:sz="4" w:space="0"/>
              <w:right w:val="single" w:color="000000" w:sz="4" w:space="0"/>
            </w:tcBorders>
            <w:vAlign w:val="center"/>
          </w:tcPr>
          <w:p>
            <w:pPr>
              <w:widowControl/>
              <w:jc w:val="center"/>
              <w:rPr>
                <w:rFonts w:ascii="宋体" w:hAnsi="宋体" w:cs="宋体"/>
                <w:kern w:val="0"/>
                <w:sz w:val="24"/>
              </w:rPr>
            </w:pPr>
            <w:r>
              <w:rPr>
                <w:rFonts w:hint="eastAsia" w:ascii="宋体" w:hAnsi="宋体" w:cs="宋体"/>
                <w:kern w:val="0"/>
                <w:sz w:val="24"/>
              </w:rPr>
              <w:t>合计</w:t>
            </w:r>
          </w:p>
        </w:tc>
        <w:tc>
          <w:tcPr>
            <w:tcW w:w="993"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center"/>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仿宋_GB2312" w:hAnsi="宋体" w:eastAsia="仿宋_GB2312" w:cs="宋体"/>
                <w:kern w:val="0"/>
                <w:sz w:val="24"/>
              </w:rPr>
            </w:pPr>
          </w:p>
        </w:tc>
        <w:tc>
          <w:tcPr>
            <w:tcW w:w="17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4"/>
              </w:rPr>
            </w:pP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4" w:space="0"/>
              <w:right w:val="single" w:color="auto" w:sz="4" w:space="0"/>
            </w:tcBorders>
            <w:vAlign w:val="center"/>
          </w:tcPr>
          <w:p>
            <w:pPr>
              <w:widowControl/>
              <w:rPr>
                <w:rFonts w:ascii="宋体" w:hAnsi="宋体" w:cs="宋体"/>
                <w:kern w:val="0"/>
                <w:sz w:val="24"/>
              </w:rPr>
            </w:pPr>
          </w:p>
        </w:tc>
        <w:tc>
          <w:tcPr>
            <w:tcW w:w="179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4"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4"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r>
        <w:tblPrEx>
          <w:tblLayout w:type="fixed"/>
          <w:tblCellMar>
            <w:top w:w="0" w:type="dxa"/>
            <w:left w:w="108" w:type="dxa"/>
            <w:bottom w:w="0" w:type="dxa"/>
            <w:right w:w="108" w:type="dxa"/>
          </w:tblCellMar>
        </w:tblPrEx>
        <w:trPr>
          <w:trHeight w:val="450" w:hRule="atLeast"/>
        </w:trPr>
        <w:tc>
          <w:tcPr>
            <w:tcW w:w="1056" w:type="dxa"/>
            <w:gridSpan w:val="2"/>
            <w:tcBorders>
              <w:top w:val="single" w:color="auto" w:sz="4" w:space="0"/>
              <w:left w:val="single" w:color="auto" w:sz="8" w:space="0"/>
              <w:bottom w:val="single" w:color="auto" w:sz="8" w:space="0"/>
              <w:right w:val="single" w:color="auto" w:sz="4" w:space="0"/>
            </w:tcBorders>
            <w:vAlign w:val="center"/>
          </w:tcPr>
          <w:p>
            <w:pPr>
              <w:widowControl/>
              <w:rPr>
                <w:rFonts w:ascii="宋体" w:hAnsi="宋体" w:cs="宋体"/>
                <w:kern w:val="0"/>
                <w:sz w:val="24"/>
              </w:rPr>
            </w:pPr>
          </w:p>
        </w:tc>
        <w:tc>
          <w:tcPr>
            <w:tcW w:w="1794"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p>
        </w:tc>
        <w:tc>
          <w:tcPr>
            <w:tcW w:w="993"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044"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7"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832" w:type="dxa"/>
            <w:tcBorders>
              <w:top w:val="nil"/>
              <w:left w:val="nil"/>
              <w:bottom w:val="single" w:color="auto" w:sz="8"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968" w:type="dxa"/>
            <w:tcBorders>
              <w:top w:val="nil"/>
              <w:left w:val="nil"/>
              <w:bottom w:val="single" w:color="auto" w:sz="8" w:space="0"/>
              <w:right w:val="nil"/>
            </w:tcBorders>
            <w:vAlign w:val="center"/>
          </w:tcPr>
          <w:p>
            <w:pPr>
              <w:widowControl/>
              <w:jc w:val="left"/>
              <w:rPr>
                <w:rFonts w:ascii="宋体" w:hAnsi="宋体" w:cs="宋体"/>
                <w:kern w:val="0"/>
                <w:sz w:val="24"/>
              </w:rPr>
            </w:pPr>
            <w:r>
              <w:rPr>
                <w:rFonts w:hint="eastAsia" w:ascii="宋体" w:hAnsi="宋体" w:cs="宋体"/>
                <w:kern w:val="0"/>
                <w:sz w:val="24"/>
              </w:rPr>
              <w:t>　</w:t>
            </w:r>
          </w:p>
        </w:tc>
        <w:tc>
          <w:tcPr>
            <w:tcW w:w="1134" w:type="dxa"/>
            <w:tcBorders>
              <w:top w:val="nil"/>
              <w:left w:val="single" w:color="auto" w:sz="4" w:space="0"/>
              <w:bottom w:val="single" w:color="auto" w:sz="8" w:space="0"/>
              <w:right w:val="single" w:color="auto" w:sz="8" w:space="0"/>
            </w:tcBorders>
            <w:vAlign w:val="center"/>
          </w:tcPr>
          <w:p>
            <w:pPr>
              <w:widowControl/>
              <w:jc w:val="left"/>
              <w:rPr>
                <w:rFonts w:ascii="宋体" w:hAnsi="宋体" w:cs="宋体"/>
                <w:kern w:val="0"/>
                <w:sz w:val="24"/>
              </w:rPr>
            </w:pPr>
            <w:r>
              <w:rPr>
                <w:rFonts w:hint="eastAsia" w:ascii="宋体" w:hAnsi="宋体" w:cs="宋体"/>
                <w:kern w:val="0"/>
                <w:sz w:val="24"/>
              </w:rPr>
              <w:t>　</w:t>
            </w:r>
          </w:p>
        </w:tc>
      </w:tr>
    </w:tbl>
    <w:p>
      <w:pPr>
        <w:spacing w:line="288" w:lineRule="auto"/>
        <w:rPr>
          <w:rFonts w:hint="eastAsia" w:ascii="仿宋_GB2312" w:eastAsia="仿宋_GB2312"/>
          <w:sz w:val="28"/>
          <w:szCs w:val="28"/>
          <w:lang w:eastAsia="zh-CN"/>
        </w:rPr>
      </w:pPr>
      <w:r>
        <w:rPr>
          <w:rFonts w:hint="eastAsia" w:ascii="仿宋_GB2312" w:eastAsia="仿宋_GB2312"/>
          <w:sz w:val="27"/>
          <w:szCs w:val="27"/>
        </w:rPr>
        <w:t>注：本表反映部门本年度政府性基金预算财政拨款收支情况。有关填表说明：</w:t>
      </w:r>
      <w:r>
        <w:rPr>
          <w:rFonts w:hint="eastAsia" w:ascii="仿宋_GB2312" w:eastAsia="仿宋_GB2312"/>
          <w:sz w:val="28"/>
          <w:szCs w:val="28"/>
          <w:lang w:eastAsia="zh-CN"/>
        </w:rPr>
        <w:t>本部门没有政府性基金预算财政拨款收入支出。</w:t>
      </w:r>
    </w:p>
    <w:p>
      <w:pPr>
        <w:spacing w:line="288" w:lineRule="auto"/>
        <w:rPr>
          <w:rFonts w:hint="eastAsia" w:ascii="仿宋_GB2312" w:eastAsia="仿宋_GB2312"/>
          <w:sz w:val="28"/>
          <w:szCs w:val="28"/>
          <w:lang w:eastAsia="zh-CN"/>
        </w:rPr>
      </w:pPr>
    </w:p>
    <w:p>
      <w:pPr>
        <w:spacing w:line="288" w:lineRule="auto"/>
        <w:rPr>
          <w:rFonts w:hint="eastAsia" w:ascii="仿宋_GB2312" w:eastAsia="仿宋_GB2312"/>
          <w:sz w:val="28"/>
          <w:szCs w:val="28"/>
          <w:lang w:eastAsia="zh-CN"/>
        </w:rPr>
      </w:pPr>
    </w:p>
    <w:p>
      <w:pPr>
        <w:spacing w:line="288" w:lineRule="auto"/>
        <w:rPr>
          <w:rFonts w:hint="eastAsia" w:ascii="仿宋_GB2312" w:eastAsia="仿宋_GB2312"/>
          <w:sz w:val="28"/>
          <w:szCs w:val="28"/>
          <w:lang w:eastAsia="zh-CN"/>
        </w:rPr>
      </w:pPr>
    </w:p>
    <w:p>
      <w:pPr>
        <w:spacing w:line="288" w:lineRule="auto"/>
        <w:rPr>
          <w:rFonts w:hint="eastAsia" w:ascii="仿宋_GB2312" w:eastAsia="仿宋_GB2312"/>
          <w:sz w:val="28"/>
          <w:szCs w:val="28"/>
          <w:lang w:eastAsia="zh-CN"/>
        </w:rPr>
      </w:pPr>
    </w:p>
    <w:p>
      <w:pPr>
        <w:spacing w:line="288" w:lineRule="auto"/>
        <w:rPr>
          <w:rFonts w:hint="eastAsia" w:ascii="仿宋_GB2312" w:eastAsia="仿宋_GB2312"/>
          <w:sz w:val="28"/>
          <w:szCs w:val="28"/>
          <w:lang w:eastAsia="zh-CN"/>
        </w:rPr>
      </w:pPr>
    </w:p>
    <w:p>
      <w:pPr>
        <w:spacing w:line="288" w:lineRule="auto"/>
        <w:rPr>
          <w:rFonts w:hint="eastAsia" w:ascii="仿宋_GB2312" w:eastAsia="仿宋_GB2312"/>
          <w:sz w:val="28"/>
          <w:szCs w:val="28"/>
          <w:lang w:eastAsia="zh-CN"/>
        </w:rPr>
      </w:pPr>
    </w:p>
    <w:p>
      <w:pPr>
        <w:spacing w:line="288" w:lineRule="auto"/>
        <w:rPr>
          <w:rFonts w:hint="eastAsia" w:ascii="仿宋_GB2312" w:eastAsia="仿宋_GB2312"/>
          <w:sz w:val="28"/>
          <w:szCs w:val="28"/>
          <w:lang w:eastAsia="zh-CN"/>
        </w:rPr>
      </w:pPr>
    </w:p>
    <w:p>
      <w:pPr>
        <w:spacing w:line="288" w:lineRule="auto"/>
        <w:rPr>
          <w:rFonts w:hint="eastAsia" w:ascii="仿宋_GB2312" w:eastAsia="仿宋_GB2312"/>
          <w:sz w:val="28"/>
          <w:szCs w:val="28"/>
          <w:lang w:eastAsia="zh-CN"/>
        </w:rPr>
      </w:pPr>
    </w:p>
    <w:p>
      <w:pPr>
        <w:spacing w:line="288" w:lineRule="auto"/>
        <w:rPr>
          <w:rFonts w:hint="eastAsia" w:ascii="仿宋_GB2312" w:eastAsia="仿宋_GB2312"/>
          <w:sz w:val="28"/>
          <w:szCs w:val="28"/>
          <w:lang w:eastAsia="zh-CN"/>
        </w:rPr>
      </w:pPr>
    </w:p>
    <w:p>
      <w:pPr>
        <w:spacing w:line="288" w:lineRule="auto"/>
        <w:ind w:firstLine="723" w:firstLineChars="200"/>
        <w:jc w:val="center"/>
        <w:outlineLvl w:val="0"/>
        <w:rPr>
          <w:rFonts w:hint="eastAsia" w:ascii="宋体" w:hAnsi="宋体" w:eastAsia="宋体"/>
          <w:b/>
          <w:sz w:val="36"/>
          <w:szCs w:val="36"/>
        </w:rPr>
      </w:pPr>
      <w:r>
        <w:rPr>
          <w:rFonts w:hint="eastAsia" w:ascii="宋体" w:hAnsi="宋体" w:eastAsia="宋体"/>
          <w:b/>
          <w:sz w:val="36"/>
          <w:szCs w:val="36"/>
        </w:rPr>
        <w:t>第三部分</w:t>
      </w:r>
    </w:p>
    <w:p>
      <w:pPr>
        <w:spacing w:line="288" w:lineRule="auto"/>
        <w:ind w:firstLine="723" w:firstLineChars="200"/>
        <w:jc w:val="left"/>
        <w:outlineLvl w:val="0"/>
        <w:rPr>
          <w:rFonts w:ascii="宋体" w:hAnsi="宋体" w:eastAsia="宋体"/>
          <w:b/>
          <w:sz w:val="36"/>
          <w:szCs w:val="36"/>
        </w:rPr>
      </w:pPr>
      <w:r>
        <w:rPr>
          <w:rFonts w:hint="eastAsia" w:ascii="宋体" w:hAnsi="宋体"/>
          <w:b/>
          <w:sz w:val="36"/>
          <w:szCs w:val="36"/>
          <w:lang w:eastAsia="zh-CN"/>
        </w:rPr>
        <w:t>罗定市罗城街道罗城社区卫生服务中心</w:t>
      </w:r>
      <w:r>
        <w:rPr>
          <w:rFonts w:hint="eastAsia" w:ascii="宋体" w:hAnsi="宋体" w:eastAsia="宋体"/>
          <w:b/>
          <w:sz w:val="36"/>
          <w:szCs w:val="36"/>
        </w:rPr>
        <w:t>年部门决算情况说明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2016</w:t>
      </w:r>
      <w:r>
        <w:rPr>
          <w:rFonts w:hint="eastAsia" w:ascii="仿宋_GB2312" w:eastAsia="仿宋_GB2312"/>
          <w:b/>
          <w:sz w:val="32"/>
          <w:szCs w:val="32"/>
        </w:rPr>
        <w:t>年度收入支出决算总体情况说明</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支出决算总规模、各类支出决算规模及各类支出增减变化情况。格式如下：</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（一）年度收入总体情况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eastAsia="zh-CN"/>
        </w:rPr>
        <w:t>罗定市罗城街道罗城社区卫生服务中心</w:t>
      </w:r>
      <w:r>
        <w:rPr>
          <w:rFonts w:hint="eastAsia" w:ascii="仿宋_GB2312" w:eastAsia="仿宋_GB2312"/>
          <w:sz w:val="32"/>
          <w:szCs w:val="32"/>
          <w:lang w:val="en-US" w:eastAsia="zh-CN"/>
        </w:rPr>
        <w:t>2016</w:t>
      </w:r>
      <w:r>
        <w:rPr>
          <w:rFonts w:hint="eastAsia" w:ascii="仿宋_GB2312" w:eastAsia="仿宋_GB2312"/>
          <w:sz w:val="32"/>
          <w:szCs w:val="32"/>
        </w:rPr>
        <w:t>年度总收入</w:t>
      </w:r>
      <w:r>
        <w:rPr>
          <w:rFonts w:hint="eastAsia" w:ascii="仿宋_GB2312" w:eastAsia="仿宋_GB2312"/>
          <w:sz w:val="32"/>
          <w:szCs w:val="32"/>
          <w:lang w:val="en-US" w:eastAsia="zh-CN"/>
        </w:rPr>
        <w:t>774.93</w:t>
      </w:r>
      <w:r>
        <w:rPr>
          <w:rFonts w:hint="eastAsia" w:ascii="仿宋_GB2312" w:eastAsia="仿宋_GB2312"/>
          <w:sz w:val="32"/>
          <w:szCs w:val="32"/>
        </w:rPr>
        <w:t>万元。具体情况如下：</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1．财政拨款收入</w:t>
      </w:r>
      <w:r>
        <w:rPr>
          <w:rFonts w:hint="eastAsia" w:ascii="仿宋_GB2312" w:eastAsia="仿宋_GB2312"/>
          <w:sz w:val="32"/>
          <w:szCs w:val="32"/>
          <w:lang w:val="en-US" w:eastAsia="zh-CN"/>
        </w:rPr>
        <w:t>576.09</w:t>
      </w:r>
      <w:r>
        <w:rPr>
          <w:rFonts w:hint="eastAsia" w:ascii="仿宋_GB2312" w:eastAsia="仿宋_GB2312"/>
          <w:sz w:val="32"/>
          <w:szCs w:val="32"/>
        </w:rPr>
        <w:t>万元，比</w:t>
      </w:r>
      <w:r>
        <w:rPr>
          <w:rFonts w:hint="eastAsia" w:ascii="仿宋_GB2312" w:eastAsia="仿宋_GB2312"/>
          <w:sz w:val="32"/>
          <w:szCs w:val="32"/>
          <w:lang w:eastAsia="zh-CN"/>
        </w:rPr>
        <w:t>上</w:t>
      </w:r>
      <w:r>
        <w:rPr>
          <w:rFonts w:hint="eastAsia" w:ascii="仿宋_GB2312" w:eastAsia="仿宋_GB2312"/>
          <w:sz w:val="32"/>
          <w:szCs w:val="32"/>
        </w:rPr>
        <w:t>年决算数增加</w:t>
      </w:r>
      <w:r>
        <w:rPr>
          <w:rFonts w:hint="eastAsia" w:ascii="仿宋_GB2312" w:eastAsia="仿宋_GB2312"/>
          <w:sz w:val="32"/>
          <w:szCs w:val="32"/>
          <w:lang w:val="en-US" w:eastAsia="zh-CN"/>
        </w:rPr>
        <w:t>77</w:t>
      </w:r>
      <w:r>
        <w:rPr>
          <w:rFonts w:hint="eastAsia" w:ascii="仿宋_GB2312" w:eastAsia="仿宋_GB2312"/>
          <w:sz w:val="32"/>
          <w:szCs w:val="32"/>
        </w:rPr>
        <w:t>万元，增长</w:t>
      </w:r>
      <w:r>
        <w:rPr>
          <w:rFonts w:hint="eastAsia" w:ascii="仿宋_GB2312" w:eastAsia="仿宋_GB2312"/>
          <w:sz w:val="32"/>
          <w:szCs w:val="32"/>
          <w:lang w:val="en-US" w:eastAsia="zh-CN"/>
        </w:rPr>
        <w:t>15.43</w:t>
      </w:r>
      <w:r>
        <w:rPr>
          <w:rFonts w:hint="eastAsia" w:ascii="仿宋_GB2312" w:eastAsia="仿宋_GB2312"/>
          <w:sz w:val="32"/>
          <w:szCs w:val="32"/>
        </w:rPr>
        <w:t>%。主要原因：一是</w:t>
      </w:r>
      <w:r>
        <w:rPr>
          <w:rFonts w:hint="eastAsia" w:ascii="仿宋_GB2312" w:eastAsia="仿宋_GB2312"/>
          <w:sz w:val="32"/>
          <w:szCs w:val="32"/>
          <w:lang w:eastAsia="zh-CN"/>
        </w:rPr>
        <w:t>政府财政对城市社区卫生机构的投入增大；</w:t>
      </w:r>
      <w:r>
        <w:rPr>
          <w:rFonts w:hint="eastAsia" w:ascii="仿宋_GB2312" w:eastAsia="仿宋_GB2312"/>
          <w:sz w:val="32"/>
          <w:szCs w:val="32"/>
        </w:rPr>
        <w:t>二是</w:t>
      </w:r>
      <w:r>
        <w:rPr>
          <w:rFonts w:hint="eastAsia" w:ascii="仿宋_GB2312" w:eastAsia="仿宋_GB2312"/>
          <w:sz w:val="32"/>
          <w:szCs w:val="32"/>
          <w:lang w:eastAsia="zh-CN"/>
        </w:rPr>
        <w:t>政府财政对城市公共卫生服务项目投入增大；</w:t>
      </w:r>
      <w:r>
        <w:rPr>
          <w:rFonts w:hint="eastAsia" w:ascii="仿宋_GB2312" w:eastAsia="仿宋_GB2312"/>
          <w:sz w:val="32"/>
          <w:szCs w:val="32"/>
        </w:rPr>
        <w:t>三是</w:t>
      </w:r>
      <w:r>
        <w:rPr>
          <w:rFonts w:hint="eastAsia" w:ascii="仿宋_GB2312" w:eastAsia="仿宋_GB2312"/>
          <w:sz w:val="32"/>
          <w:szCs w:val="32"/>
          <w:lang w:eastAsia="zh-CN"/>
        </w:rPr>
        <w:t>基层医疗卫生机构服务基础医疗卫生项目增多，服务人口增多，同样机构对人力物力的投入同样增大。</w:t>
      </w:r>
    </w:p>
    <w:p>
      <w:pPr>
        <w:spacing w:line="288" w:lineRule="auto"/>
        <w:ind w:left="160" w:leftChars="76" w:firstLine="480" w:firstLineChars="150"/>
        <w:rPr>
          <w:rFonts w:ascii="仿宋_GB2312" w:eastAsia="仿宋_GB2312"/>
          <w:sz w:val="32"/>
          <w:szCs w:val="32"/>
        </w:rPr>
      </w:pPr>
      <w:r>
        <w:rPr>
          <w:rFonts w:hint="eastAsia" w:ascii="仿宋_GB2312" w:eastAsia="仿宋_GB2312"/>
          <w:sz w:val="32"/>
          <w:szCs w:val="32"/>
        </w:rPr>
        <w:t>2．上级补助收入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与上年度一样，没有上级补助收入</w:t>
      </w:r>
      <w:r>
        <w:rPr>
          <w:rFonts w:hint="eastAsia" w:ascii="仿宋_GB2312" w:eastAsia="仿宋_GB2312"/>
          <w:sz w:val="32"/>
          <w:szCs w:val="32"/>
        </w:rPr>
        <w:t>。</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3．事业收入</w:t>
      </w:r>
      <w:r>
        <w:rPr>
          <w:rFonts w:hint="eastAsia" w:ascii="仿宋_GB2312" w:eastAsia="仿宋_GB2312"/>
          <w:sz w:val="32"/>
          <w:szCs w:val="32"/>
          <w:lang w:val="en-US" w:eastAsia="zh-CN"/>
        </w:rPr>
        <w:t>191.48</w:t>
      </w:r>
      <w:r>
        <w:rPr>
          <w:rFonts w:hint="eastAsia" w:ascii="仿宋_GB2312" w:eastAsia="仿宋_GB2312"/>
          <w:sz w:val="32"/>
          <w:szCs w:val="32"/>
        </w:rPr>
        <w:t>万元，比</w:t>
      </w:r>
      <w:r>
        <w:rPr>
          <w:rFonts w:hint="eastAsia" w:ascii="仿宋_GB2312" w:eastAsia="仿宋_GB2312"/>
          <w:sz w:val="32"/>
          <w:szCs w:val="32"/>
          <w:lang w:eastAsia="zh-CN"/>
        </w:rPr>
        <w:t>上</w:t>
      </w:r>
      <w:r>
        <w:rPr>
          <w:rFonts w:hint="eastAsia" w:ascii="仿宋_GB2312" w:eastAsia="仿宋_GB2312"/>
          <w:sz w:val="32"/>
          <w:szCs w:val="32"/>
        </w:rPr>
        <w:t>年决算数增加</w:t>
      </w:r>
      <w:r>
        <w:rPr>
          <w:rFonts w:hint="eastAsia" w:ascii="仿宋_GB2312" w:eastAsia="仿宋_GB2312"/>
          <w:sz w:val="32"/>
          <w:szCs w:val="32"/>
          <w:lang w:val="en-US" w:eastAsia="zh-CN"/>
        </w:rPr>
        <w:t>52.5</w:t>
      </w:r>
      <w:r>
        <w:rPr>
          <w:rFonts w:hint="eastAsia" w:ascii="仿宋_GB2312" w:eastAsia="仿宋_GB2312"/>
          <w:sz w:val="32"/>
          <w:szCs w:val="32"/>
        </w:rPr>
        <w:t xml:space="preserve"> 万元，增长</w:t>
      </w:r>
      <w:r>
        <w:rPr>
          <w:rFonts w:hint="eastAsia" w:ascii="仿宋_GB2312" w:eastAsia="仿宋_GB2312"/>
          <w:sz w:val="32"/>
          <w:szCs w:val="32"/>
          <w:lang w:val="en-US" w:eastAsia="zh-CN"/>
        </w:rPr>
        <w:t>38.78</w:t>
      </w:r>
      <w:r>
        <w:rPr>
          <w:rFonts w:hint="eastAsia" w:ascii="仿宋_GB2312" w:eastAsia="仿宋_GB2312"/>
          <w:sz w:val="32"/>
          <w:szCs w:val="32"/>
        </w:rPr>
        <w:t>%。主要原因：一是</w:t>
      </w:r>
      <w:r>
        <w:rPr>
          <w:rFonts w:hint="eastAsia" w:ascii="仿宋_GB2312" w:eastAsia="仿宋_GB2312"/>
          <w:sz w:val="32"/>
          <w:szCs w:val="32"/>
          <w:lang w:eastAsia="zh-CN"/>
        </w:rPr>
        <w:t>医疗卫生项目增多，科室增设；</w:t>
      </w:r>
      <w:r>
        <w:rPr>
          <w:rFonts w:hint="eastAsia" w:ascii="仿宋_GB2312" w:eastAsia="仿宋_GB2312"/>
          <w:sz w:val="32"/>
          <w:szCs w:val="32"/>
        </w:rPr>
        <w:t>二是</w:t>
      </w:r>
      <w:r>
        <w:rPr>
          <w:rFonts w:hint="eastAsia" w:ascii="仿宋_GB2312" w:eastAsia="仿宋_GB2312"/>
          <w:sz w:val="32"/>
          <w:szCs w:val="32"/>
          <w:lang w:eastAsia="zh-CN"/>
        </w:rPr>
        <w:t>医疗人才的引进，医疗业务水平的提高。</w:t>
      </w:r>
    </w:p>
    <w:p>
      <w:pPr>
        <w:spacing w:line="288"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4．经营收入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与上年度一样，没有经营收入</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5．其他收入</w:t>
      </w:r>
      <w:r>
        <w:rPr>
          <w:rFonts w:hint="eastAsia" w:ascii="仿宋_GB2312" w:eastAsia="仿宋_GB2312"/>
          <w:sz w:val="32"/>
          <w:szCs w:val="32"/>
          <w:lang w:val="en-US" w:eastAsia="zh-CN"/>
        </w:rPr>
        <w:t>7.36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比</w:t>
      </w:r>
      <w:r>
        <w:rPr>
          <w:rFonts w:hint="eastAsia" w:ascii="仿宋_GB2312" w:eastAsia="仿宋_GB2312"/>
          <w:sz w:val="32"/>
          <w:szCs w:val="32"/>
          <w:lang w:eastAsia="zh-CN"/>
        </w:rPr>
        <w:t>上</w:t>
      </w:r>
      <w:r>
        <w:rPr>
          <w:rFonts w:hint="eastAsia" w:ascii="仿宋_GB2312" w:eastAsia="仿宋_GB2312"/>
          <w:sz w:val="32"/>
          <w:szCs w:val="32"/>
        </w:rPr>
        <w:t>年决算数</w:t>
      </w:r>
      <w:r>
        <w:rPr>
          <w:rFonts w:hint="eastAsia" w:ascii="仿宋_GB2312" w:eastAsia="仿宋_GB2312"/>
          <w:sz w:val="32"/>
          <w:szCs w:val="32"/>
          <w:lang w:eastAsia="zh-CN"/>
        </w:rPr>
        <w:t>减少</w:t>
      </w:r>
      <w:r>
        <w:rPr>
          <w:rFonts w:hint="eastAsia" w:ascii="仿宋_GB2312" w:eastAsia="仿宋_GB2312"/>
          <w:sz w:val="32"/>
          <w:szCs w:val="32"/>
          <w:lang w:val="en-US" w:eastAsia="zh-CN"/>
        </w:rPr>
        <w:t>3.42</w:t>
      </w:r>
      <w:r>
        <w:rPr>
          <w:rFonts w:hint="eastAsia" w:ascii="仿宋_GB2312" w:eastAsia="仿宋_GB2312"/>
          <w:sz w:val="32"/>
          <w:szCs w:val="32"/>
        </w:rPr>
        <w:t xml:space="preserve"> 万元，增长</w:t>
      </w:r>
      <w:r>
        <w:rPr>
          <w:rFonts w:hint="eastAsia" w:ascii="仿宋_GB2312" w:eastAsia="仿宋_GB2312"/>
          <w:sz w:val="32"/>
          <w:szCs w:val="32"/>
          <w:lang w:val="en-US" w:eastAsia="zh-CN"/>
        </w:rPr>
        <w:t>31.73</w:t>
      </w:r>
      <w:r>
        <w:rPr>
          <w:rFonts w:hint="eastAsia" w:ascii="仿宋_GB2312" w:eastAsia="仿宋_GB2312"/>
          <w:sz w:val="32"/>
          <w:szCs w:val="32"/>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（二）年度支出总体情况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eastAsia="zh-CN"/>
        </w:rPr>
        <w:t>罗定市罗城街道罗城社区卫生服务中心</w:t>
      </w:r>
      <w:r>
        <w:rPr>
          <w:rFonts w:hint="eastAsia" w:ascii="仿宋_GB2312" w:eastAsia="仿宋_GB2312"/>
          <w:sz w:val="32"/>
          <w:szCs w:val="32"/>
          <w:lang w:val="en-US" w:eastAsia="zh-CN"/>
        </w:rPr>
        <w:t>2016</w:t>
      </w:r>
      <w:r>
        <w:rPr>
          <w:rFonts w:hint="eastAsia" w:ascii="仿宋_GB2312" w:eastAsia="仿宋_GB2312"/>
          <w:sz w:val="32"/>
          <w:szCs w:val="32"/>
        </w:rPr>
        <w:t>年度总</w:t>
      </w:r>
      <w:r>
        <w:rPr>
          <w:rFonts w:hint="eastAsia" w:ascii="仿宋_GB2312" w:eastAsia="仿宋_GB2312"/>
          <w:sz w:val="32"/>
          <w:szCs w:val="32"/>
          <w:lang w:eastAsia="zh-CN"/>
        </w:rPr>
        <w:t>支出</w:t>
      </w:r>
      <w:r>
        <w:rPr>
          <w:rFonts w:hint="eastAsia" w:ascii="仿宋_GB2312" w:eastAsia="仿宋_GB2312"/>
          <w:sz w:val="32"/>
          <w:szCs w:val="32"/>
          <w:lang w:val="en-US" w:eastAsia="zh-CN"/>
        </w:rPr>
        <w:t>576.09</w:t>
      </w:r>
      <w:r>
        <w:rPr>
          <w:rFonts w:hint="eastAsia" w:ascii="仿宋_GB2312" w:eastAsia="仿宋_GB2312"/>
          <w:sz w:val="32"/>
          <w:szCs w:val="32"/>
        </w:rPr>
        <w:t>万元。具体情况如下：</w:t>
      </w:r>
    </w:p>
    <w:p>
      <w:pPr>
        <w:numPr>
          <w:ilvl w:val="0"/>
          <w:numId w:val="5"/>
        </w:numPr>
        <w:spacing w:line="640" w:lineRule="exact"/>
        <w:ind w:firstLine="645"/>
        <w:rPr>
          <w:rFonts w:hint="eastAsia" w:ascii="仿宋_GB2312" w:eastAsia="仿宋_GB2312"/>
          <w:sz w:val="32"/>
          <w:szCs w:val="32"/>
        </w:rPr>
      </w:pPr>
      <w:r>
        <w:rPr>
          <w:rFonts w:hint="eastAsia" w:ascii="仿宋_GB2312" w:eastAsia="仿宋_GB2312"/>
          <w:sz w:val="32"/>
          <w:szCs w:val="32"/>
          <w:lang w:eastAsia="zh-CN"/>
        </w:rPr>
        <w:t>公共卫生</w:t>
      </w:r>
      <w:r>
        <w:rPr>
          <w:rFonts w:hint="eastAsia" w:ascii="仿宋_GB2312" w:eastAsia="仿宋_GB2312"/>
          <w:sz w:val="32"/>
          <w:szCs w:val="32"/>
        </w:rPr>
        <w:t>（类）支出</w:t>
      </w:r>
      <w:r>
        <w:rPr>
          <w:rFonts w:hint="eastAsia" w:ascii="仿宋_GB2312" w:eastAsia="仿宋_GB2312"/>
          <w:sz w:val="32"/>
          <w:szCs w:val="32"/>
          <w:lang w:val="en-US" w:eastAsia="zh-CN"/>
        </w:rPr>
        <w:t>352.39</w:t>
      </w:r>
      <w:r>
        <w:rPr>
          <w:rFonts w:hint="eastAsia" w:ascii="仿宋_GB2312" w:eastAsia="仿宋_GB2312"/>
          <w:sz w:val="32"/>
          <w:szCs w:val="32"/>
        </w:rPr>
        <w:t>万元，主要用于</w:t>
      </w:r>
      <w:r>
        <w:rPr>
          <w:rFonts w:hint="eastAsia" w:ascii="仿宋_GB2312" w:eastAsia="仿宋_GB2312"/>
          <w:sz w:val="32"/>
          <w:szCs w:val="32"/>
          <w:lang w:eastAsia="zh-CN"/>
        </w:rPr>
        <w:t>基本公共卫生服务项目中商品和服务的支出</w:t>
      </w:r>
      <w:r>
        <w:rPr>
          <w:rFonts w:hint="eastAsia" w:ascii="仿宋_GB2312" w:eastAsia="仿宋_GB2312"/>
          <w:sz w:val="32"/>
          <w:szCs w:val="32"/>
        </w:rPr>
        <w:t>，</w:t>
      </w:r>
      <w:r>
        <w:rPr>
          <w:rFonts w:hint="eastAsia" w:ascii="仿宋_GB2312" w:eastAsia="仿宋_GB2312"/>
          <w:sz w:val="32"/>
          <w:szCs w:val="32"/>
          <w:lang w:eastAsia="zh-CN"/>
        </w:rPr>
        <w:t>包括印刷居民健康档案各项资料，办公用品，随访所用的邮电费，健康教育的宣传画册费用，健康检查用的检验专业材料费等公共卫生项目服务费。</w:t>
      </w:r>
      <w:r>
        <w:rPr>
          <w:rFonts w:hint="eastAsia" w:ascii="仿宋_GB2312" w:eastAsia="仿宋_GB2312"/>
          <w:sz w:val="32"/>
          <w:szCs w:val="32"/>
        </w:rPr>
        <w:t>比</w:t>
      </w:r>
      <w:r>
        <w:rPr>
          <w:rFonts w:hint="eastAsia" w:ascii="仿宋_GB2312" w:eastAsia="仿宋_GB2312"/>
          <w:sz w:val="32"/>
          <w:szCs w:val="32"/>
          <w:lang w:eastAsia="zh-CN"/>
        </w:rPr>
        <w:t>上</w:t>
      </w:r>
      <w:r>
        <w:rPr>
          <w:rFonts w:hint="eastAsia" w:ascii="仿宋_GB2312" w:eastAsia="仿宋_GB2312"/>
          <w:sz w:val="32"/>
          <w:szCs w:val="32"/>
        </w:rPr>
        <w:t>年决算数增加</w:t>
      </w:r>
      <w:r>
        <w:rPr>
          <w:rFonts w:hint="eastAsia" w:ascii="仿宋_GB2312" w:eastAsia="仿宋_GB2312"/>
          <w:sz w:val="32"/>
          <w:szCs w:val="32"/>
          <w:lang w:val="en-US" w:eastAsia="zh-CN"/>
        </w:rPr>
        <w:t>8.35</w:t>
      </w:r>
      <w:r>
        <w:rPr>
          <w:rFonts w:hint="eastAsia" w:ascii="仿宋_GB2312" w:eastAsia="仿宋_GB2312"/>
          <w:sz w:val="32"/>
          <w:szCs w:val="32"/>
        </w:rPr>
        <w:t xml:space="preserve"> 万元，增长</w:t>
      </w:r>
      <w:r>
        <w:rPr>
          <w:rFonts w:hint="eastAsia" w:ascii="仿宋_GB2312" w:eastAsia="仿宋_GB2312"/>
          <w:sz w:val="32"/>
          <w:szCs w:val="32"/>
          <w:lang w:val="en-US" w:eastAsia="zh-CN"/>
        </w:rPr>
        <w:t>2.43</w:t>
      </w:r>
      <w:r>
        <w:rPr>
          <w:rFonts w:hint="eastAsia" w:ascii="仿宋_GB2312" w:eastAsia="仿宋_GB2312"/>
          <w:sz w:val="32"/>
          <w:szCs w:val="32"/>
        </w:rPr>
        <w:t>%，主要原因</w:t>
      </w:r>
      <w:r>
        <w:rPr>
          <w:rFonts w:hint="eastAsia" w:ascii="仿宋_GB2312" w:eastAsia="仿宋_GB2312"/>
          <w:sz w:val="32"/>
          <w:szCs w:val="32"/>
          <w:lang w:eastAsia="zh-CN"/>
        </w:rPr>
        <w:t>是服务人口的增多，服务难道的增大，服务项目同比上年度增加，如：本年度检验项目由原来的三</w:t>
      </w:r>
      <w:r>
        <w:rPr>
          <w:rFonts w:hint="eastAsia" w:ascii="仿宋_GB2312" w:eastAsia="仿宋_GB2312"/>
          <w:sz w:val="32"/>
          <w:szCs w:val="32"/>
          <w:lang w:val="en-US" w:eastAsia="zh-CN"/>
        </w:rPr>
        <w:t>-五项，增加至十项以上，故本年度专用材料检验试剂的费用支出较大，</w:t>
      </w:r>
      <w:r>
        <w:rPr>
          <w:rFonts w:hint="eastAsia" w:ascii="仿宋_GB2312" w:eastAsia="仿宋_GB2312"/>
          <w:sz w:val="32"/>
          <w:szCs w:val="32"/>
          <w:lang w:eastAsia="zh-CN"/>
        </w:rPr>
        <w:t>导致比上年所投入增大</w:t>
      </w:r>
      <w:r>
        <w:rPr>
          <w:rFonts w:hint="eastAsia" w:ascii="仿宋_GB2312" w:eastAsia="仿宋_GB2312"/>
          <w:sz w:val="32"/>
          <w:szCs w:val="32"/>
        </w:rPr>
        <w:t>。</w:t>
      </w:r>
    </w:p>
    <w:p>
      <w:pPr>
        <w:numPr>
          <w:ilvl w:val="0"/>
          <w:numId w:val="5"/>
        </w:numPr>
        <w:spacing w:line="640" w:lineRule="exact"/>
        <w:ind w:firstLine="645"/>
        <w:rPr>
          <w:rFonts w:hint="eastAsia" w:ascii="仿宋_GB2312" w:eastAsia="仿宋_GB2312"/>
          <w:sz w:val="32"/>
          <w:szCs w:val="32"/>
        </w:rPr>
      </w:pPr>
      <w:r>
        <w:rPr>
          <w:rFonts w:hint="eastAsia" w:ascii="仿宋_GB2312" w:eastAsia="仿宋_GB2312"/>
          <w:sz w:val="32"/>
          <w:szCs w:val="32"/>
          <w:lang w:eastAsia="zh-CN"/>
        </w:rPr>
        <w:t>基层医疗卫生机构支出</w:t>
      </w:r>
      <w:r>
        <w:rPr>
          <w:rFonts w:hint="eastAsia" w:ascii="仿宋_GB2312" w:eastAsia="仿宋_GB2312"/>
          <w:sz w:val="32"/>
          <w:szCs w:val="32"/>
          <w:lang w:val="en-US" w:eastAsia="zh-CN"/>
        </w:rPr>
        <w:t>223.70万元，主要用于工资福利开支，及日常商品和服务支出。比上年决算数减少58.65万元，减少35.39%。导致该支出同比减少的原因：工资福利支出减少。</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lang w:eastAsia="zh-CN"/>
        </w:rPr>
        <w:t>二</w:t>
      </w:r>
      <w:r>
        <w:rPr>
          <w:rFonts w:hint="eastAsia" w:ascii="仿宋_GB2312" w:eastAsia="仿宋_GB2312"/>
          <w:b/>
          <w:sz w:val="32"/>
          <w:szCs w:val="32"/>
        </w:rPr>
        <w:t>、</w:t>
      </w:r>
      <w:r>
        <w:rPr>
          <w:rFonts w:hint="eastAsia" w:ascii="仿宋_GB2312" w:eastAsia="仿宋_GB2312"/>
          <w:b/>
          <w:sz w:val="32"/>
          <w:szCs w:val="32"/>
          <w:lang w:val="en-US" w:eastAsia="zh-CN"/>
        </w:rPr>
        <w:t>2016</w:t>
      </w:r>
      <w:r>
        <w:rPr>
          <w:rFonts w:hint="eastAsia" w:ascii="仿宋_GB2312" w:eastAsia="仿宋_GB2312"/>
          <w:b/>
          <w:sz w:val="32"/>
          <w:szCs w:val="32"/>
        </w:rPr>
        <w:t>年度财政拨款收入支出总表说明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2016</w:t>
      </w:r>
      <w:r>
        <w:rPr>
          <w:rFonts w:hint="eastAsia" w:ascii="仿宋_GB2312" w:eastAsia="仿宋_GB2312"/>
          <w:b/>
          <w:sz w:val="32"/>
          <w:szCs w:val="32"/>
        </w:rPr>
        <w:t>年度财政拨款收入说明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lang w:eastAsia="zh-CN"/>
        </w:rPr>
        <w:t>罗定市罗城街道罗城社区卫生服务中心</w:t>
      </w:r>
      <w:r>
        <w:rPr>
          <w:rFonts w:hint="eastAsia" w:ascii="仿宋_GB2312" w:eastAsia="仿宋_GB2312"/>
          <w:sz w:val="32"/>
          <w:szCs w:val="32"/>
          <w:lang w:val="en-US" w:eastAsia="zh-CN"/>
        </w:rPr>
        <w:t>2016</w:t>
      </w:r>
      <w:r>
        <w:rPr>
          <w:rFonts w:hint="eastAsia" w:ascii="仿宋_GB2312" w:eastAsia="仿宋_GB2312"/>
          <w:sz w:val="32"/>
          <w:szCs w:val="32"/>
        </w:rPr>
        <w:t>年度财政拨款收入合计</w:t>
      </w:r>
      <w:r>
        <w:rPr>
          <w:rFonts w:hint="eastAsia" w:ascii="仿宋_GB2312" w:eastAsia="仿宋_GB2312"/>
          <w:sz w:val="32"/>
          <w:szCs w:val="32"/>
          <w:lang w:val="en-US" w:eastAsia="zh-CN"/>
        </w:rPr>
        <w:t>576.09</w:t>
      </w:r>
      <w:r>
        <w:rPr>
          <w:rFonts w:hint="eastAsia" w:ascii="仿宋_GB2312" w:eastAsia="仿宋_GB2312"/>
          <w:sz w:val="32"/>
          <w:szCs w:val="32"/>
        </w:rPr>
        <w:t>万元。其中：一般公共预算财政拨款收入</w:t>
      </w:r>
      <w:r>
        <w:rPr>
          <w:rFonts w:hint="eastAsia" w:ascii="仿宋_GB2312" w:eastAsia="仿宋_GB2312"/>
          <w:sz w:val="32"/>
          <w:szCs w:val="32"/>
          <w:lang w:val="en-US" w:eastAsia="zh-CN"/>
        </w:rPr>
        <w:t>576.09</w:t>
      </w:r>
      <w:r>
        <w:rPr>
          <w:rFonts w:hint="eastAsia" w:ascii="仿宋_GB2312" w:eastAsia="仿宋_GB2312"/>
          <w:sz w:val="32"/>
          <w:szCs w:val="32"/>
        </w:rPr>
        <w:t>万元，</w:t>
      </w:r>
      <w:r>
        <w:rPr>
          <w:rFonts w:hint="eastAsia" w:ascii="仿宋_GB2312" w:eastAsia="仿宋_GB2312"/>
          <w:sz w:val="32"/>
          <w:szCs w:val="32"/>
          <w:lang w:eastAsia="zh-CN"/>
        </w:rPr>
        <w:t>与年初预算数一致</w:t>
      </w:r>
      <w:r>
        <w:rPr>
          <w:rFonts w:hint="eastAsia" w:ascii="仿宋_GB2312" w:eastAsia="仿宋_GB2312"/>
          <w:sz w:val="32"/>
          <w:szCs w:val="32"/>
        </w:rPr>
        <w:t>；政府性基金预算财政拨款收入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与年初预算</w:t>
      </w:r>
      <w:r>
        <w:rPr>
          <w:rFonts w:hint="eastAsia" w:ascii="仿宋_GB2312" w:eastAsia="仿宋_GB2312"/>
          <w:sz w:val="32"/>
          <w:szCs w:val="32"/>
        </w:rPr>
        <w:t>数</w:t>
      </w:r>
      <w:r>
        <w:rPr>
          <w:rFonts w:hint="eastAsia" w:ascii="仿宋_GB2312" w:eastAsia="仿宋_GB2312"/>
          <w:sz w:val="32"/>
          <w:szCs w:val="32"/>
          <w:lang w:eastAsia="zh-CN"/>
        </w:rPr>
        <w:t>一致。</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val="en-US" w:eastAsia="zh-CN"/>
        </w:rPr>
        <w:t>2016</w:t>
      </w:r>
      <w:r>
        <w:rPr>
          <w:rFonts w:hint="eastAsia" w:ascii="仿宋_GB2312" w:eastAsia="仿宋_GB2312"/>
          <w:b/>
          <w:sz w:val="32"/>
          <w:szCs w:val="32"/>
        </w:rPr>
        <w:t>年度财政拨款支出说明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lang w:eastAsia="zh-CN"/>
        </w:rPr>
        <w:t>罗定市罗城街道罗城社区卫生服务中心</w:t>
      </w:r>
      <w:r>
        <w:rPr>
          <w:rFonts w:hint="eastAsia" w:ascii="仿宋_GB2312" w:eastAsia="仿宋_GB2312"/>
          <w:sz w:val="32"/>
          <w:szCs w:val="32"/>
          <w:lang w:val="en-US" w:eastAsia="zh-CN"/>
        </w:rPr>
        <w:t>2016</w:t>
      </w:r>
      <w:r>
        <w:rPr>
          <w:rFonts w:hint="eastAsia" w:ascii="仿宋_GB2312" w:eastAsia="仿宋_GB2312"/>
          <w:sz w:val="32"/>
          <w:szCs w:val="32"/>
        </w:rPr>
        <w:t>年度财政拨款支出合计</w:t>
      </w:r>
      <w:r>
        <w:rPr>
          <w:rFonts w:hint="eastAsia" w:ascii="仿宋_GB2312" w:eastAsia="仿宋_GB2312"/>
          <w:sz w:val="32"/>
          <w:szCs w:val="32"/>
          <w:lang w:val="en-US" w:eastAsia="zh-CN"/>
        </w:rPr>
        <w:t>576.09</w:t>
      </w:r>
      <w:r>
        <w:rPr>
          <w:rFonts w:hint="eastAsia" w:ascii="仿宋_GB2312" w:eastAsia="仿宋_GB2312"/>
          <w:sz w:val="32"/>
          <w:szCs w:val="32"/>
        </w:rPr>
        <w:t>万元。其中：一般公共预算财政拨款支出</w:t>
      </w:r>
      <w:r>
        <w:rPr>
          <w:rFonts w:hint="eastAsia" w:ascii="仿宋_GB2312" w:eastAsia="仿宋_GB2312"/>
          <w:sz w:val="32"/>
          <w:szCs w:val="32"/>
          <w:lang w:val="en-US" w:eastAsia="zh-CN"/>
        </w:rPr>
        <w:t>576.09</w:t>
      </w:r>
      <w:r>
        <w:rPr>
          <w:rFonts w:hint="eastAsia" w:ascii="仿宋_GB2312" w:eastAsia="仿宋_GB2312"/>
          <w:sz w:val="32"/>
          <w:szCs w:val="32"/>
        </w:rPr>
        <w:t>万元，</w:t>
      </w:r>
      <w:r>
        <w:rPr>
          <w:rFonts w:hint="eastAsia" w:ascii="仿宋_GB2312" w:eastAsia="仿宋_GB2312"/>
          <w:sz w:val="32"/>
          <w:szCs w:val="32"/>
          <w:lang w:eastAsia="zh-CN"/>
        </w:rPr>
        <w:t>与年初预算数一致</w:t>
      </w:r>
      <w:r>
        <w:rPr>
          <w:rFonts w:hint="eastAsia" w:ascii="仿宋_GB2312" w:eastAsia="仿宋_GB2312"/>
          <w:sz w:val="32"/>
          <w:szCs w:val="32"/>
        </w:rPr>
        <w:t>；政府性基金预算财政拨款支出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与年初预算数一致。</w:t>
      </w:r>
    </w:p>
    <w:p>
      <w:pPr>
        <w:numPr>
          <w:ilvl w:val="0"/>
          <w:numId w:val="6"/>
        </w:numPr>
        <w:spacing w:line="640" w:lineRule="exact"/>
        <w:ind w:firstLine="643" w:firstLineChars="200"/>
        <w:rPr>
          <w:rFonts w:hint="eastAsia" w:ascii="仿宋_GB2312" w:eastAsia="仿宋_GB2312"/>
          <w:b/>
          <w:sz w:val="32"/>
          <w:szCs w:val="32"/>
        </w:rPr>
      </w:pPr>
      <w:r>
        <w:rPr>
          <w:rFonts w:hint="eastAsia" w:ascii="仿宋_GB2312" w:eastAsia="仿宋_GB2312"/>
          <w:b/>
          <w:sz w:val="32"/>
          <w:szCs w:val="32"/>
        </w:rPr>
        <w:t>分功能科目看</w:t>
      </w:r>
    </w:p>
    <w:p>
      <w:pPr>
        <w:numPr>
          <w:ilvl w:val="0"/>
          <w:numId w:val="0"/>
        </w:numPr>
        <w:spacing w:line="6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基层医疗卫生机构中城市社区卫生机支出</w:t>
      </w:r>
      <w:r>
        <w:rPr>
          <w:rFonts w:hint="eastAsia" w:ascii="仿宋_GB2312" w:eastAsia="仿宋_GB2312"/>
          <w:sz w:val="32"/>
          <w:szCs w:val="32"/>
          <w:lang w:val="en-US" w:eastAsia="zh-CN"/>
        </w:rPr>
        <w:t>201.01</w:t>
      </w:r>
      <w:r>
        <w:rPr>
          <w:rFonts w:hint="eastAsia" w:ascii="仿宋_GB2312" w:eastAsia="仿宋_GB2312"/>
          <w:sz w:val="32"/>
          <w:szCs w:val="32"/>
        </w:rPr>
        <w:t>万元，主要用于</w:t>
      </w:r>
      <w:r>
        <w:rPr>
          <w:rFonts w:hint="eastAsia" w:ascii="仿宋_GB2312" w:eastAsia="仿宋_GB2312"/>
          <w:sz w:val="32"/>
          <w:szCs w:val="32"/>
          <w:lang w:eastAsia="zh-CN"/>
        </w:rPr>
        <w:t>基层医疗卫生机构人员工资福利的支出及项目商品及服务支出；</w:t>
      </w:r>
      <w:r>
        <w:rPr>
          <w:rFonts w:hint="eastAsia" w:ascii="仿宋_GB2312" w:eastAsia="仿宋_GB2312"/>
          <w:sz w:val="32"/>
          <w:szCs w:val="32"/>
        </w:rPr>
        <w:t>其他基层医疗卫生机构支出</w:t>
      </w:r>
      <w:r>
        <w:rPr>
          <w:rFonts w:hint="eastAsia" w:ascii="仿宋_GB2312" w:eastAsia="仿宋_GB2312"/>
          <w:sz w:val="32"/>
          <w:szCs w:val="32"/>
          <w:lang w:val="en-US" w:eastAsia="zh-CN"/>
        </w:rPr>
        <w:t>22.69万元，主要用于基层医疗卫生机构基本建设性支出。</w:t>
      </w:r>
    </w:p>
    <w:p>
      <w:pPr>
        <w:numPr>
          <w:ilvl w:val="0"/>
          <w:numId w:val="0"/>
        </w:numPr>
        <w:spacing w:line="64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公共卫生支出中基本公共卫生支出352.39万元，主要用于</w:t>
      </w:r>
      <w:r>
        <w:rPr>
          <w:rFonts w:hint="eastAsia" w:ascii="仿宋_GB2312" w:eastAsia="仿宋_GB2312"/>
          <w:sz w:val="32"/>
          <w:szCs w:val="32"/>
          <w:lang w:eastAsia="zh-CN"/>
        </w:rPr>
        <w:t>基本公共卫生服务项目中商品和服务的支出。</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lang w:eastAsia="zh-CN"/>
        </w:rPr>
        <w:t>三</w:t>
      </w:r>
      <w:r>
        <w:rPr>
          <w:rFonts w:hint="eastAsia" w:ascii="仿宋_GB2312" w:eastAsia="仿宋_GB2312"/>
          <w:b/>
          <w:sz w:val="32"/>
          <w:szCs w:val="32"/>
        </w:rPr>
        <w:t>、</w:t>
      </w:r>
      <w:r>
        <w:rPr>
          <w:rFonts w:hint="eastAsia" w:ascii="仿宋_GB2312" w:eastAsia="仿宋_GB2312"/>
          <w:b/>
          <w:sz w:val="32"/>
          <w:szCs w:val="32"/>
          <w:lang w:val="en-US" w:eastAsia="zh-CN"/>
        </w:rPr>
        <w:t>2016</w:t>
      </w:r>
      <w:r>
        <w:rPr>
          <w:rFonts w:hint="eastAsia" w:ascii="仿宋_GB2312" w:eastAsia="仿宋_GB2312"/>
          <w:b/>
          <w:sz w:val="32"/>
          <w:szCs w:val="32"/>
        </w:rPr>
        <w:t>年度财政拨款“三公”经费支出决算情况说明</w:t>
      </w:r>
    </w:p>
    <w:p>
      <w:pPr>
        <w:spacing w:line="288" w:lineRule="auto"/>
        <w:ind w:firstLine="643" w:firstLineChars="200"/>
        <w:rPr>
          <w:rFonts w:hint="eastAsia" w:ascii="仿宋_GB2312" w:eastAsia="仿宋_GB2312"/>
          <w:b/>
          <w:sz w:val="32"/>
          <w:szCs w:val="32"/>
          <w:lang w:eastAsia="zh-CN"/>
        </w:rPr>
      </w:pPr>
      <w:r>
        <w:rPr>
          <w:rFonts w:hint="eastAsia" w:ascii="仿宋_GB2312" w:eastAsia="仿宋_GB2312"/>
          <w:b/>
          <w:sz w:val="32"/>
          <w:szCs w:val="32"/>
          <w:lang w:eastAsia="zh-CN"/>
        </w:rPr>
        <w:t>本部门本年度无“三公”经费支出。</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lang w:eastAsia="zh-CN"/>
        </w:rPr>
        <w:t>四</w:t>
      </w:r>
      <w:r>
        <w:rPr>
          <w:rFonts w:hint="eastAsia" w:ascii="仿宋_GB2312" w:eastAsia="仿宋_GB2312"/>
          <w:b/>
          <w:sz w:val="32"/>
          <w:szCs w:val="32"/>
        </w:rPr>
        <w:t>、其他重要事项的情况说明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（一）机关运行经费支出情况</w:t>
      </w:r>
    </w:p>
    <w:p>
      <w:pPr>
        <w:spacing w:line="580" w:lineRule="exact"/>
        <w:ind w:firstLine="640" w:firstLineChars="200"/>
        <w:rPr>
          <w:rFonts w:eastAsia="仿宋_GB2312"/>
          <w:sz w:val="32"/>
          <w:szCs w:val="32"/>
        </w:rPr>
      </w:pPr>
      <w:r>
        <w:rPr>
          <w:rFonts w:hint="eastAsia" w:ascii="仿宋_GB2312" w:hAnsi="宋体" w:eastAsia="仿宋_GB2312"/>
          <w:sz w:val="32"/>
          <w:szCs w:val="32"/>
          <w:lang w:val="en-US" w:eastAsia="zh-CN"/>
        </w:rPr>
        <w:t>2016</w:t>
      </w:r>
      <w:r>
        <w:rPr>
          <w:rFonts w:hint="eastAsia" w:ascii="仿宋_GB2312" w:hAnsi="宋体" w:eastAsia="仿宋_GB2312"/>
          <w:sz w:val="32"/>
          <w:szCs w:val="32"/>
        </w:rPr>
        <w:t>年本部门机关运行经费支出</w:t>
      </w:r>
      <w:r>
        <w:rPr>
          <w:rFonts w:hint="eastAsia" w:ascii="仿宋_GB2312" w:hAnsi="宋体" w:eastAsia="仿宋_GB2312"/>
          <w:sz w:val="32"/>
          <w:szCs w:val="32"/>
          <w:lang w:val="en-US" w:eastAsia="zh-CN"/>
        </w:rPr>
        <w:t>201.01</w:t>
      </w:r>
      <w:r>
        <w:rPr>
          <w:rFonts w:hint="eastAsia" w:ascii="仿宋_GB2312" w:hAnsi="宋体" w:eastAsia="仿宋_GB2312"/>
          <w:sz w:val="32"/>
          <w:szCs w:val="32"/>
        </w:rPr>
        <w:t>万元，比</w:t>
      </w:r>
      <w:r>
        <w:rPr>
          <w:rFonts w:hint="eastAsia" w:ascii="仿宋_GB2312" w:hAnsi="宋体" w:eastAsia="仿宋_GB2312"/>
          <w:sz w:val="32"/>
          <w:szCs w:val="32"/>
          <w:lang w:eastAsia="zh-CN"/>
        </w:rPr>
        <w:t>上</w:t>
      </w:r>
      <w:r>
        <w:rPr>
          <w:rFonts w:hint="eastAsia" w:ascii="仿宋_GB2312" w:hAnsi="宋体" w:eastAsia="仿宋_GB2312"/>
          <w:sz w:val="32"/>
          <w:szCs w:val="32"/>
        </w:rPr>
        <w:t>年</w:t>
      </w:r>
      <w:r>
        <w:rPr>
          <w:rFonts w:hint="eastAsia" w:ascii="仿宋_GB2312" w:hAnsi="宋体" w:eastAsia="仿宋_GB2312"/>
          <w:sz w:val="32"/>
          <w:szCs w:val="32"/>
          <w:lang w:eastAsia="zh-CN"/>
        </w:rPr>
        <w:t>增加</w:t>
      </w:r>
      <w:r>
        <w:rPr>
          <w:rFonts w:hint="eastAsia" w:ascii="仿宋_GB2312" w:hAnsi="宋体" w:eastAsia="仿宋_GB2312"/>
          <w:sz w:val="32"/>
          <w:szCs w:val="32"/>
          <w:lang w:val="en-US" w:eastAsia="zh-CN"/>
        </w:rPr>
        <w:t>54.47</w:t>
      </w:r>
      <w:r>
        <w:rPr>
          <w:rFonts w:hint="eastAsia" w:ascii="仿宋_GB2312" w:hAnsi="宋体" w:eastAsia="仿宋_GB2312"/>
          <w:sz w:val="32"/>
          <w:szCs w:val="32"/>
        </w:rPr>
        <w:t>万元，</w:t>
      </w:r>
      <w:r>
        <w:rPr>
          <w:rFonts w:hint="eastAsia" w:ascii="仿宋_GB2312" w:hAnsi="宋体" w:eastAsia="仿宋_GB2312"/>
          <w:sz w:val="32"/>
          <w:szCs w:val="32"/>
          <w:lang w:eastAsia="zh-CN"/>
        </w:rPr>
        <w:t>增大</w:t>
      </w:r>
      <w:r>
        <w:rPr>
          <w:rFonts w:hint="eastAsia" w:ascii="仿宋_GB2312" w:hAnsi="宋体" w:eastAsia="仿宋_GB2312"/>
          <w:sz w:val="32"/>
          <w:szCs w:val="32"/>
          <w:lang w:val="en-US" w:eastAsia="zh-CN"/>
        </w:rPr>
        <w:t>37.17</w:t>
      </w:r>
      <w:r>
        <w:rPr>
          <w:rFonts w:hint="eastAsia" w:ascii="仿宋_GB2312" w:hAnsi="宋体" w:eastAsia="仿宋_GB2312"/>
          <w:sz w:val="32"/>
          <w:szCs w:val="32"/>
        </w:rPr>
        <w:t>%。主要原因是：</w:t>
      </w:r>
      <w:r>
        <w:rPr>
          <w:rFonts w:hint="eastAsia" w:ascii="仿宋_GB2312" w:hAnsi="宋体" w:eastAsia="仿宋_GB2312"/>
          <w:sz w:val="32"/>
          <w:szCs w:val="32"/>
          <w:lang w:eastAsia="zh-CN"/>
        </w:rPr>
        <w:t>职工工资福利支出比上年度支出增加</w:t>
      </w:r>
      <w:r>
        <w:rPr>
          <w:rFonts w:hint="eastAsia" w:ascii="仿宋_GB2312" w:hAnsi="宋体" w:eastAsia="仿宋_GB2312"/>
          <w:sz w:val="32"/>
          <w:szCs w:val="32"/>
          <w:lang w:val="en-US" w:eastAsia="zh-CN"/>
        </w:rPr>
        <w:t>48万元，升高46.61%；商品和服务支出比上年度支出增加6.04万元，减低16.92%</w:t>
      </w:r>
      <w:r>
        <w:rPr>
          <w:rFonts w:hint="eastAsia" w:ascii="仿宋_GB2312" w:hAnsi="宋体" w:eastAsia="仿宋_GB2312"/>
          <w:sz w:val="32"/>
          <w:szCs w:val="32"/>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（二）政府采购支出情况说明</w:t>
      </w:r>
    </w:p>
    <w:p>
      <w:pPr>
        <w:spacing w:line="288" w:lineRule="auto"/>
        <w:ind w:firstLine="640" w:firstLineChars="200"/>
        <w:rPr>
          <w:rFonts w:ascii="仿宋_GB2312" w:eastAsia="仿宋_GB2312"/>
          <w:b/>
          <w:sz w:val="32"/>
          <w:szCs w:val="32"/>
        </w:rPr>
      </w:pPr>
      <w:r>
        <w:rPr>
          <w:rFonts w:hint="eastAsia" w:ascii="仿宋_GB2312" w:eastAsia="仿宋_GB2312"/>
          <w:sz w:val="32"/>
          <w:szCs w:val="32"/>
          <w:lang w:val="en-US" w:eastAsia="zh-CN"/>
        </w:rPr>
        <w:t>2016</w:t>
      </w:r>
      <w:r>
        <w:rPr>
          <w:rFonts w:hint="eastAsia" w:ascii="仿宋_GB2312" w:eastAsia="仿宋_GB2312"/>
          <w:sz w:val="32"/>
          <w:szCs w:val="32"/>
        </w:rPr>
        <w:t>年本部门政府采购支出总额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（三）国有资产占用情况</w:t>
      </w:r>
    </w:p>
    <w:p>
      <w:pPr>
        <w:spacing w:line="580" w:lineRule="exact"/>
        <w:ind w:firstLine="640" w:firstLineChars="200"/>
        <w:rPr>
          <w:rFonts w:ascii="仿宋_GB2312" w:eastAsia="仿宋_GB2312"/>
          <w:b/>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2016</w:t>
      </w:r>
      <w:r>
        <w:rPr>
          <w:rFonts w:hint="eastAsia" w:ascii="仿宋_GB2312" w:eastAsia="仿宋_GB2312"/>
          <w:sz w:val="32"/>
          <w:szCs w:val="32"/>
        </w:rPr>
        <w:t>年12月31日，本部门共有车辆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单位</w:t>
      </w:r>
      <w:r>
        <w:rPr>
          <w:rFonts w:hint="eastAsia" w:ascii="仿宋_GB2312" w:hAnsi="宋体" w:eastAsia="仿宋_GB2312" w:cs="宋体"/>
          <w:b/>
          <w:kern w:val="0"/>
          <w:sz w:val="32"/>
          <w:szCs w:val="32"/>
        </w:rPr>
        <w:t>价值</w:t>
      </w:r>
      <w:r>
        <w:rPr>
          <w:rFonts w:ascii="仿宋_GB2312" w:hAnsi="宋体" w:eastAsia="仿宋_GB2312" w:cs="宋体"/>
          <w:b/>
          <w:kern w:val="0"/>
          <w:sz w:val="32"/>
          <w:szCs w:val="32"/>
        </w:rPr>
        <w:t>50万元以上通用设备</w:t>
      </w:r>
      <w:r>
        <w:rPr>
          <w:rFonts w:hint="eastAsia" w:ascii="仿宋_GB2312" w:hAnsi="宋体" w:eastAsia="仿宋_GB2312" w:cs="宋体"/>
          <w:b/>
          <w:kern w:val="0"/>
          <w:sz w:val="32"/>
          <w:szCs w:val="32"/>
          <w:lang w:val="en-US" w:eastAsia="zh-CN"/>
        </w:rPr>
        <w:t>0</w:t>
      </w:r>
      <w:r>
        <w:rPr>
          <w:rFonts w:hint="eastAsia" w:ascii="仿宋_GB2312" w:hAnsi="宋体" w:eastAsia="仿宋_GB2312" w:cs="宋体"/>
          <w:b/>
          <w:kern w:val="0"/>
          <w:sz w:val="32"/>
          <w:szCs w:val="32"/>
        </w:rPr>
        <w:t>台（套），单价</w:t>
      </w:r>
      <w:r>
        <w:rPr>
          <w:rFonts w:ascii="仿宋_GB2312" w:hAnsi="宋体" w:eastAsia="仿宋_GB2312" w:cs="宋体"/>
          <w:b/>
          <w:kern w:val="0"/>
          <w:sz w:val="32"/>
          <w:szCs w:val="32"/>
        </w:rPr>
        <w:t>100万元以上专用设备</w:t>
      </w:r>
      <w:r>
        <w:rPr>
          <w:rFonts w:hint="eastAsia" w:ascii="仿宋_GB2312" w:hAnsi="宋体" w:eastAsia="仿宋_GB2312" w:cs="宋体"/>
          <w:b/>
          <w:kern w:val="0"/>
          <w:sz w:val="32"/>
          <w:szCs w:val="32"/>
          <w:lang w:val="en-US" w:eastAsia="zh-CN"/>
        </w:rPr>
        <w:t>0</w:t>
      </w:r>
      <w:r>
        <w:rPr>
          <w:rFonts w:hint="eastAsia" w:ascii="仿宋_GB2312" w:hAnsi="宋体" w:eastAsia="仿宋_GB2312" w:cs="宋体"/>
          <w:b/>
          <w:kern w:val="0"/>
          <w:sz w:val="32"/>
          <w:szCs w:val="32"/>
        </w:rPr>
        <w:t>台（套）。</w:t>
      </w:r>
    </w:p>
    <w:p>
      <w:pPr>
        <w:spacing w:line="580" w:lineRule="exact"/>
        <w:ind w:firstLine="643" w:firstLineChars="200"/>
        <w:rPr>
          <w:rFonts w:ascii="仿宋_GB2312" w:eastAsia="仿宋_GB2312"/>
          <w:b/>
          <w:sz w:val="32"/>
          <w:szCs w:val="32"/>
        </w:rPr>
      </w:pPr>
      <w:r>
        <w:rPr>
          <w:rFonts w:hint="eastAsia" w:ascii="仿宋_GB2312" w:eastAsia="仿宋_GB2312"/>
          <w:b/>
          <w:sz w:val="32"/>
          <w:szCs w:val="32"/>
        </w:rPr>
        <w:t>（四）预算绩效管理工作开展情况。</w:t>
      </w:r>
    </w:p>
    <w:p>
      <w:pPr>
        <w:snapToGrid w:val="0"/>
        <w:spacing w:line="580" w:lineRule="exact"/>
        <w:ind w:firstLine="200"/>
        <w:rPr>
          <w:rFonts w:hint="eastAsia" w:ascii="仿宋_GB2312" w:eastAsia="仿宋_GB2312"/>
          <w:sz w:val="32"/>
          <w:szCs w:val="32"/>
        </w:rPr>
      </w:pPr>
      <w:r>
        <w:rPr>
          <w:rFonts w:hint="eastAsia" w:ascii="仿宋_GB2312" w:eastAsia="仿宋_GB2312"/>
          <w:sz w:val="32"/>
          <w:szCs w:val="32"/>
        </w:rPr>
        <w:t xml:space="preserve">    </w:t>
      </w:r>
      <w:r>
        <w:rPr>
          <w:rFonts w:ascii="仿宋_GB2312" w:eastAsia="仿宋_GB2312"/>
          <w:b/>
          <w:sz w:val="32"/>
          <w:szCs w:val="32"/>
        </w:rPr>
        <w:t>1</w:t>
      </w:r>
      <w:r>
        <w:rPr>
          <w:rFonts w:hint="eastAsia" w:ascii="仿宋_GB2312" w:eastAsia="仿宋_GB2312"/>
          <w:b/>
          <w:sz w:val="32"/>
          <w:szCs w:val="32"/>
        </w:rPr>
        <w:t>．绩效管理工作总体情况。</w:t>
      </w:r>
      <w:r>
        <w:rPr>
          <w:rFonts w:hint="eastAsia" w:ascii="仿宋_GB2312" w:eastAsia="仿宋_GB2312"/>
          <w:sz w:val="32"/>
          <w:szCs w:val="32"/>
        </w:rPr>
        <w:t>根据财政预算管理要求，我部门组织对</w:t>
      </w:r>
      <w:r>
        <w:rPr>
          <w:rFonts w:hint="eastAsia" w:ascii="仿宋_GB2312" w:eastAsia="仿宋_GB2312"/>
          <w:sz w:val="32"/>
          <w:szCs w:val="32"/>
          <w:lang w:val="en-US" w:eastAsia="zh-CN"/>
        </w:rPr>
        <w:t>2016</w:t>
      </w:r>
      <w:r>
        <w:rPr>
          <w:rFonts w:hint="eastAsia" w:ascii="仿宋_GB2312" w:eastAsia="仿宋_GB2312"/>
          <w:sz w:val="32"/>
          <w:szCs w:val="32"/>
        </w:rPr>
        <w:t>年度一般公共预算项目支出全面开展绩效自评。其中，一级项目</w:t>
      </w:r>
      <w:r>
        <w:rPr>
          <w:rFonts w:hint="eastAsia" w:ascii="仿宋_GB2312" w:eastAsia="仿宋_GB2312"/>
          <w:sz w:val="32"/>
          <w:szCs w:val="32"/>
          <w:lang w:val="en-US" w:eastAsia="zh-CN"/>
        </w:rPr>
        <w:t>1</w:t>
      </w:r>
      <w:r>
        <w:rPr>
          <w:rFonts w:hint="eastAsia" w:ascii="仿宋_GB2312" w:eastAsia="仿宋_GB2312"/>
          <w:sz w:val="32"/>
          <w:szCs w:val="32"/>
        </w:rPr>
        <w:t>个，二级项目</w:t>
      </w:r>
      <w:r>
        <w:rPr>
          <w:rFonts w:hint="eastAsia" w:ascii="仿宋_GB2312" w:eastAsia="仿宋_GB2312"/>
          <w:sz w:val="32"/>
          <w:szCs w:val="32"/>
          <w:lang w:val="en-US" w:eastAsia="zh-CN"/>
        </w:rPr>
        <w:t>12</w:t>
      </w:r>
      <w:r>
        <w:rPr>
          <w:rFonts w:hint="eastAsia" w:ascii="仿宋_GB2312" w:eastAsia="仿宋_GB2312"/>
          <w:sz w:val="32"/>
          <w:szCs w:val="32"/>
        </w:rPr>
        <w:t>个，共涉及资金</w:t>
      </w:r>
      <w:r>
        <w:rPr>
          <w:rFonts w:hint="eastAsia" w:ascii="仿宋_GB2312" w:eastAsia="仿宋_GB2312"/>
          <w:sz w:val="32"/>
          <w:szCs w:val="32"/>
          <w:lang w:val="en-US" w:eastAsia="zh-CN"/>
        </w:rPr>
        <w:t>352.39</w:t>
      </w:r>
      <w:r>
        <w:rPr>
          <w:rFonts w:hint="eastAsia" w:ascii="仿宋_GB2312" w:eastAsia="仿宋_GB2312"/>
          <w:sz w:val="32"/>
          <w:szCs w:val="32"/>
        </w:rPr>
        <w:t>万元，自评覆盖率达到</w:t>
      </w:r>
      <w:r>
        <w:rPr>
          <w:rFonts w:hint="eastAsia" w:ascii="仿宋_GB2312" w:eastAsia="仿宋_GB2312"/>
          <w:sz w:val="32"/>
          <w:szCs w:val="32"/>
          <w:lang w:val="en-US" w:eastAsia="zh-CN"/>
        </w:rPr>
        <w:t>100</w:t>
      </w:r>
      <w:r>
        <w:rPr>
          <w:rFonts w:hint="eastAsia" w:ascii="仿宋_GB2312" w:eastAsia="仿宋_GB2312"/>
          <w:sz w:val="32"/>
          <w:szCs w:val="32"/>
        </w:rPr>
        <w:t>%。</w:t>
      </w:r>
    </w:p>
    <w:p>
      <w:pPr>
        <w:snapToGrid w:val="0"/>
        <w:spacing w:line="580" w:lineRule="exact"/>
        <w:ind w:firstLine="640" w:firstLineChars="200"/>
        <w:rPr>
          <w:rFonts w:hint="eastAsia" w:ascii="仿宋_GB2312" w:hAnsi="仿宋_GB2312" w:eastAsia="仿宋_GB2312" w:cs="仿宋_GB2312"/>
          <w:sz w:val="32"/>
          <w:szCs w:val="32"/>
        </w:rPr>
      </w:pPr>
      <w:r>
        <w:rPr>
          <w:rFonts w:hint="eastAsia" w:ascii="仿宋_GB2312" w:eastAsia="仿宋_GB2312"/>
          <w:sz w:val="32"/>
          <w:szCs w:val="32"/>
          <w:highlight w:val="none"/>
        </w:rPr>
        <w:t>组织对“</w:t>
      </w:r>
      <w:r>
        <w:rPr>
          <w:rFonts w:hint="eastAsia" w:ascii="仿宋_GB2312" w:eastAsia="仿宋_GB2312"/>
          <w:sz w:val="32"/>
          <w:szCs w:val="32"/>
          <w:highlight w:val="none"/>
          <w:lang w:eastAsia="zh-CN"/>
        </w:rPr>
        <w:t>基本公共卫生服务项目</w:t>
      </w:r>
      <w:r>
        <w:rPr>
          <w:rFonts w:hint="eastAsia" w:ascii="仿宋_GB2312" w:eastAsia="仿宋_GB2312"/>
          <w:sz w:val="32"/>
          <w:szCs w:val="32"/>
          <w:highlight w:val="none"/>
        </w:rPr>
        <w:t>”等</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个项目进行了绩效评价，涉及一般公共预算支出</w:t>
      </w:r>
      <w:r>
        <w:rPr>
          <w:rFonts w:hint="eastAsia" w:ascii="仿宋_GB2312" w:eastAsia="仿宋_GB2312"/>
          <w:sz w:val="32"/>
          <w:szCs w:val="32"/>
          <w:highlight w:val="none"/>
          <w:lang w:val="en-US" w:eastAsia="zh-CN"/>
        </w:rPr>
        <w:t>352.39</w:t>
      </w:r>
      <w:r>
        <w:rPr>
          <w:rFonts w:hint="eastAsia" w:ascii="仿宋_GB2312" w:eastAsia="仿宋_GB2312"/>
          <w:sz w:val="32"/>
          <w:szCs w:val="32"/>
          <w:highlight w:val="none"/>
        </w:rPr>
        <w:t>万元。从评价情况来看，</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项目支出绩效情况较为理想或不够理想，达到了或未达到项目申请时设定的各项绩效目标。</w:t>
      </w:r>
      <w:r>
        <w:rPr>
          <w:rFonts w:hint="eastAsia" w:ascii="仿宋_GB2312" w:hAnsi="仿宋_GB2312" w:eastAsia="仿宋_GB2312" w:cs="仿宋_GB2312"/>
          <w:color w:val="000000"/>
          <w:sz w:val="32"/>
          <w:szCs w:val="32"/>
          <w:shd w:val="clear" w:fill="FFFFFF"/>
        </w:rPr>
        <w:t>从评价情况来看： </w:t>
      </w:r>
      <w:r>
        <w:rPr>
          <w:rFonts w:hint="eastAsia" w:ascii="仿宋_GB2312" w:hAnsi="仿宋_GB2312" w:eastAsia="仿宋_GB2312" w:cs="仿宋_GB2312"/>
          <w:color w:val="000000"/>
          <w:sz w:val="32"/>
          <w:szCs w:val="32"/>
          <w:shd w:val="clear" w:fill="FFFFFF"/>
          <w:lang w:eastAsia="zh-CN"/>
        </w:rPr>
        <w:t>2016</w:t>
      </w:r>
      <w:r>
        <w:rPr>
          <w:rFonts w:hint="eastAsia" w:ascii="仿宋_GB2312" w:hAnsi="仿宋_GB2312" w:eastAsia="仿宋_GB2312" w:cs="仿宋_GB2312"/>
          <w:color w:val="000000"/>
          <w:sz w:val="32"/>
          <w:szCs w:val="32"/>
          <w:shd w:val="clear" w:fill="FFFFFF"/>
        </w:rPr>
        <w:t>年，本部门全面完成了年初制定的工作计划，市内各项工作取得了良好的经济社会效益。项目科学合理，项目管理规范，项目监管到位，项目完成较好，项目质量较高，运行保障有力。</w:t>
      </w:r>
    </w:p>
    <w:p>
      <w:pPr>
        <w:pStyle w:val="2"/>
        <w:keepNext w:val="0"/>
        <w:keepLines w:val="0"/>
        <w:widowControl/>
        <w:suppressLineNumbers w:val="0"/>
        <w:snapToGrid w:val="0"/>
        <w:spacing w:before="150" w:beforeAutospacing="0" w:after="150" w:afterAutospacing="0" w:line="420" w:lineRule="atLeast"/>
        <w:ind w:left="452" w:right="452" w:firstLine="602"/>
        <w:jc w:val="left"/>
        <w:rPr>
          <w:rFonts w:hint="eastAsia" w:ascii="仿宋_GB2312" w:hAnsi="仿宋_GB2312" w:eastAsia="仿宋_GB2312" w:cs="仿宋_GB2312"/>
          <w:sz w:val="32"/>
          <w:szCs w:val="32"/>
        </w:rPr>
      </w:pPr>
      <w:r>
        <w:rPr>
          <w:rFonts w:ascii="仿宋_GB2312" w:eastAsia="仿宋_GB2312"/>
          <w:b/>
          <w:sz w:val="32"/>
          <w:szCs w:val="32"/>
        </w:rPr>
        <w:t>2</w:t>
      </w:r>
      <w:r>
        <w:rPr>
          <w:rFonts w:hint="eastAsia" w:ascii="仿宋_GB2312" w:eastAsia="仿宋_GB2312"/>
          <w:b/>
          <w:sz w:val="32"/>
          <w:szCs w:val="32"/>
        </w:rPr>
        <w:t>．部门决算中项目绩效自评结果。</w:t>
      </w:r>
      <w:r>
        <w:rPr>
          <w:rFonts w:hint="eastAsia" w:ascii="仿宋_GB2312" w:hAnsi="仿宋_GB2312" w:eastAsia="仿宋_GB2312" w:cs="仿宋_GB2312"/>
          <w:color w:val="000000"/>
          <w:sz w:val="32"/>
          <w:szCs w:val="32"/>
          <w:shd w:val="clear" w:fill="FFFFFF"/>
        </w:rPr>
        <w:t>我部门今年在部门决算中“</w:t>
      </w:r>
      <w:r>
        <w:rPr>
          <w:rFonts w:hint="eastAsia" w:ascii="仿宋_GB2312" w:hAnsi="仿宋_GB2312" w:eastAsia="仿宋_GB2312" w:cs="仿宋_GB2312"/>
          <w:color w:val="000000"/>
          <w:sz w:val="32"/>
          <w:szCs w:val="32"/>
          <w:shd w:val="clear" w:fill="FFFFFF"/>
          <w:lang w:eastAsia="zh-CN"/>
        </w:rPr>
        <w:t>居民健康档案管理、预防接种、孕产妇健康管理、慢性病患者健康管理、严重精神病患者健康管理、肺结核患者健康管理、中医院健康管理、传染病及突发公共卫生事件报告和处理、卫生和计划生育监督协管</w:t>
      </w:r>
      <w:r>
        <w:rPr>
          <w:rFonts w:hint="eastAsia" w:ascii="仿宋_GB2312" w:hAnsi="仿宋_GB2312" w:eastAsia="仿宋_GB2312" w:cs="仿宋_GB2312"/>
          <w:color w:val="000000"/>
          <w:sz w:val="32"/>
          <w:szCs w:val="32"/>
          <w:shd w:val="clear" w:fill="FFFFFF"/>
        </w:rPr>
        <w:t>”等</w:t>
      </w:r>
      <w:r>
        <w:rPr>
          <w:rFonts w:hint="eastAsia" w:ascii="仿宋_GB2312" w:hAnsi="仿宋_GB2312" w:eastAsia="仿宋_GB2312" w:cs="仿宋_GB2312"/>
          <w:color w:val="000000"/>
          <w:sz w:val="32"/>
          <w:szCs w:val="32"/>
          <w:shd w:val="clear" w:fill="FFFFFF"/>
          <w:lang w:val="en-US" w:eastAsia="zh-CN"/>
        </w:rPr>
        <w:t>12</w:t>
      </w:r>
      <w:r>
        <w:rPr>
          <w:rFonts w:hint="eastAsia" w:ascii="仿宋_GB2312" w:hAnsi="仿宋_GB2312" w:eastAsia="仿宋_GB2312" w:cs="仿宋_GB2312"/>
          <w:color w:val="000000"/>
          <w:sz w:val="32"/>
          <w:szCs w:val="32"/>
          <w:shd w:val="clear" w:fill="FFFFFF"/>
        </w:rPr>
        <w:t>个项目的绩效评价结果。根据年初设定的绩效目标，</w:t>
      </w:r>
      <w:r>
        <w:rPr>
          <w:rFonts w:hint="eastAsia" w:ascii="仿宋_GB2312" w:hAnsi="仿宋_GB2312" w:eastAsia="仿宋_GB2312" w:cs="仿宋_GB2312"/>
          <w:color w:val="000000"/>
          <w:sz w:val="32"/>
          <w:szCs w:val="32"/>
          <w:shd w:val="clear" w:fill="FFFFFF"/>
          <w:lang w:val="en-US" w:eastAsia="zh-CN"/>
        </w:rPr>
        <w:t>12</w:t>
      </w:r>
      <w:r>
        <w:rPr>
          <w:rFonts w:hint="eastAsia" w:ascii="仿宋_GB2312" w:hAnsi="仿宋_GB2312" w:eastAsia="仿宋_GB2312" w:cs="仿宋_GB2312"/>
          <w:color w:val="000000"/>
          <w:sz w:val="32"/>
          <w:szCs w:val="32"/>
          <w:shd w:val="clear" w:fill="FFFFFF"/>
        </w:rPr>
        <w:t>大项目，我单位自评得分</w:t>
      </w:r>
      <w:r>
        <w:rPr>
          <w:rFonts w:hint="eastAsia" w:ascii="仿宋_GB2312" w:hAnsi="仿宋_GB2312" w:eastAsia="仿宋_GB2312" w:cs="仿宋_GB2312"/>
          <w:color w:val="000000"/>
          <w:sz w:val="32"/>
          <w:szCs w:val="32"/>
          <w:shd w:val="clear" w:fill="FFFFFF"/>
          <w:lang w:val="en-US" w:eastAsia="zh-CN"/>
        </w:rPr>
        <w:t>96.4</w:t>
      </w:r>
      <w:bookmarkStart w:id="0" w:name="_GoBack"/>
      <w:bookmarkEnd w:id="0"/>
      <w:r>
        <w:rPr>
          <w:rFonts w:hint="eastAsia" w:ascii="仿宋_GB2312" w:hAnsi="仿宋_GB2312" w:eastAsia="仿宋_GB2312" w:cs="仿宋_GB2312"/>
          <w:color w:val="000000"/>
          <w:sz w:val="32"/>
          <w:szCs w:val="32"/>
          <w:shd w:val="clear" w:fill="FFFFFF"/>
        </w:rPr>
        <w:t>分。发现的主要问题及原因：一是工作经费投入不足，较难满足林业工作的实际需要，制约了部分工作的顺利开展；二是工作人员培训教育、学习交流较少，综合水平有待加强；三是</w:t>
      </w:r>
      <w:r>
        <w:rPr>
          <w:rFonts w:hint="eastAsia" w:ascii="仿宋_GB2312" w:hAnsi="仿宋_GB2312" w:eastAsia="仿宋_GB2312" w:cs="仿宋_GB2312"/>
          <w:color w:val="000000"/>
          <w:sz w:val="32"/>
          <w:szCs w:val="32"/>
          <w:shd w:val="clear" w:fill="FFFFFF"/>
          <w:lang w:eastAsia="zh-CN"/>
        </w:rPr>
        <w:t>健康知识</w:t>
      </w:r>
      <w:r>
        <w:rPr>
          <w:rFonts w:hint="eastAsia" w:ascii="仿宋_GB2312" w:hAnsi="仿宋_GB2312" w:eastAsia="仿宋_GB2312" w:cs="仿宋_GB2312"/>
          <w:color w:val="000000"/>
          <w:sz w:val="32"/>
          <w:szCs w:val="32"/>
          <w:shd w:val="clear" w:fill="FFFFFF"/>
        </w:rPr>
        <w:t>宣传不够广泛深入；四是</w:t>
      </w:r>
      <w:r>
        <w:rPr>
          <w:rFonts w:hint="eastAsia" w:ascii="仿宋_GB2312" w:hAnsi="仿宋_GB2312" w:eastAsia="仿宋_GB2312" w:cs="仿宋_GB2312"/>
          <w:color w:val="000000"/>
          <w:sz w:val="32"/>
          <w:szCs w:val="32"/>
          <w:shd w:val="clear" w:fill="FFFFFF"/>
          <w:lang w:eastAsia="zh-CN"/>
        </w:rPr>
        <w:t>群众对健康意识薄弱，医院</w:t>
      </w:r>
      <w:r>
        <w:rPr>
          <w:rFonts w:hint="eastAsia" w:ascii="仿宋_GB2312" w:hAnsi="仿宋_GB2312" w:eastAsia="仿宋_GB2312" w:cs="仿宋_GB2312"/>
          <w:color w:val="000000"/>
          <w:sz w:val="32"/>
          <w:szCs w:val="32"/>
          <w:shd w:val="clear" w:fill="FFFFFF"/>
        </w:rPr>
        <w:t>设施薄弱。</w:t>
      </w:r>
    </w:p>
    <w:p>
      <w:pPr>
        <w:pStyle w:val="2"/>
        <w:keepNext w:val="0"/>
        <w:keepLines w:val="0"/>
        <w:widowControl/>
        <w:suppressLineNumbers w:val="0"/>
        <w:snapToGrid w:val="0"/>
        <w:spacing w:before="150" w:beforeAutospacing="0" w:after="150" w:afterAutospacing="0" w:line="420" w:lineRule="atLeast"/>
        <w:ind w:left="452" w:right="452" w:firstLine="600"/>
        <w:jc w:val="left"/>
        <w:rPr>
          <w:rFonts w:ascii="仿宋_GB2312" w:eastAsia="仿宋_GB2312"/>
          <w:sz w:val="32"/>
          <w:szCs w:val="32"/>
        </w:rPr>
      </w:pPr>
      <w:r>
        <w:rPr>
          <w:rFonts w:hint="eastAsia" w:ascii="仿宋_GB2312" w:hAnsi="仿宋_GB2312" w:eastAsia="仿宋_GB2312" w:cs="仿宋_GB2312"/>
          <w:color w:val="000000"/>
          <w:sz w:val="32"/>
          <w:szCs w:val="32"/>
          <w:shd w:val="clear" w:fill="FFFFFF"/>
        </w:rPr>
        <w:t>下一步改进措施：一、加强</w:t>
      </w:r>
      <w:r>
        <w:rPr>
          <w:rFonts w:hint="eastAsia" w:ascii="仿宋_GB2312" w:hAnsi="仿宋_GB2312" w:eastAsia="仿宋_GB2312" w:cs="仿宋_GB2312"/>
          <w:color w:val="333333"/>
          <w:sz w:val="32"/>
          <w:szCs w:val="32"/>
          <w:shd w:val="clear" w:fill="FFFFFF"/>
          <w:lang w:eastAsia="zh-CN"/>
        </w:rPr>
        <w:t>医疗</w:t>
      </w:r>
      <w:r>
        <w:rPr>
          <w:rFonts w:hint="eastAsia" w:ascii="仿宋_GB2312" w:hAnsi="仿宋_GB2312" w:eastAsia="仿宋_GB2312" w:cs="仿宋_GB2312"/>
          <w:color w:val="000000"/>
          <w:sz w:val="32"/>
          <w:szCs w:val="32"/>
          <w:shd w:val="clear" w:fill="FFFFFF"/>
        </w:rPr>
        <w:t>队伍建设，组织培训教育、学习交流，提高业务水平和工作能力；二、是利用多种方式、多种渠道，广泛宣传</w:t>
      </w:r>
      <w:r>
        <w:rPr>
          <w:rFonts w:hint="eastAsia" w:ascii="仿宋_GB2312" w:hAnsi="仿宋_GB2312" w:eastAsia="仿宋_GB2312" w:cs="仿宋_GB2312"/>
          <w:color w:val="000000"/>
          <w:sz w:val="32"/>
          <w:szCs w:val="32"/>
          <w:shd w:val="clear" w:fill="FFFFFF"/>
          <w:lang w:eastAsia="zh-CN"/>
        </w:rPr>
        <w:t>国家基本公共卫生项目</w:t>
      </w:r>
      <w:r>
        <w:rPr>
          <w:rFonts w:hint="eastAsia" w:ascii="仿宋_GB2312" w:hAnsi="仿宋_GB2312" w:eastAsia="仿宋_GB2312" w:cs="仿宋_GB2312"/>
          <w:color w:val="000000"/>
          <w:sz w:val="32"/>
          <w:szCs w:val="32"/>
          <w:shd w:val="clear" w:fill="FFFFFF"/>
        </w:rPr>
        <w:t>政策法规;三、加大</w:t>
      </w:r>
      <w:r>
        <w:rPr>
          <w:rFonts w:hint="eastAsia" w:ascii="仿宋_GB2312" w:hAnsi="仿宋_GB2312" w:eastAsia="仿宋_GB2312" w:cs="仿宋_GB2312"/>
          <w:color w:val="000000"/>
          <w:sz w:val="32"/>
          <w:szCs w:val="32"/>
          <w:shd w:val="clear" w:fill="FFFFFF"/>
          <w:lang w:eastAsia="zh-CN"/>
        </w:rPr>
        <w:t>医疗</w:t>
      </w:r>
      <w:r>
        <w:rPr>
          <w:rFonts w:hint="eastAsia" w:ascii="仿宋_GB2312" w:hAnsi="仿宋_GB2312" w:eastAsia="仿宋_GB2312" w:cs="仿宋_GB2312"/>
          <w:color w:val="000000"/>
          <w:sz w:val="32"/>
          <w:szCs w:val="32"/>
          <w:shd w:val="clear" w:fill="FFFFFF"/>
        </w:rPr>
        <w:t>设施设备的投入。</w:t>
      </w:r>
    </w:p>
    <w:p>
      <w:pPr>
        <w:snapToGrid w:val="0"/>
        <w:spacing w:line="360" w:lineRule="auto"/>
        <w:ind w:firstLine="643"/>
        <w:rPr>
          <w:rFonts w:ascii="仿宋_GB2312" w:eastAsia="仿宋_GB2312"/>
          <w:sz w:val="32"/>
          <w:szCs w:val="32"/>
        </w:rPr>
      </w:pP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第四部分  名词解释</w:t>
      </w:r>
    </w:p>
    <w:p>
      <w:pPr>
        <w:spacing w:line="288" w:lineRule="auto"/>
        <w:ind w:firstLine="627" w:firstLineChars="196"/>
        <w:rPr>
          <w:rFonts w:ascii="仿宋_GB2312" w:eastAsia="仿宋_GB2312"/>
          <w:b/>
          <w:sz w:val="32"/>
          <w:szCs w:val="32"/>
        </w:rPr>
      </w:pPr>
      <w:r>
        <w:rPr>
          <w:rFonts w:hint="eastAsia" w:ascii="仿宋_GB2312" w:eastAsia="仿宋_GB2312"/>
          <w:sz w:val="32"/>
          <w:szCs w:val="32"/>
        </w:rPr>
        <w:t>为便于社会公众的理解，各部门需对公开内容中涉及的专业名词进行解释，格式如下：（以下专业名词解释供参考，各部门可以根据公开内容中涉及的专业名词自行予以增减）</w:t>
      </w:r>
    </w:p>
    <w:p>
      <w:pPr>
        <w:numPr>
          <w:ilvl w:val="0"/>
          <w:numId w:val="7"/>
        </w:numPr>
        <w:spacing w:line="288" w:lineRule="auto"/>
        <w:ind w:firstLine="630" w:firstLineChars="196"/>
        <w:rPr>
          <w:rFonts w:hint="eastAsia" w:ascii="仿宋_GB2312" w:eastAsia="仿宋_GB2312"/>
          <w:sz w:val="32"/>
          <w:szCs w:val="32"/>
        </w:rPr>
      </w:pPr>
      <w:r>
        <w:rPr>
          <w:rFonts w:hint="eastAsia" w:ascii="仿宋_GB2312" w:eastAsia="仿宋_GB2312"/>
          <w:b/>
          <w:sz w:val="32"/>
          <w:szCs w:val="32"/>
        </w:rPr>
        <w:t>财政拨款收入：</w:t>
      </w:r>
      <w:r>
        <w:rPr>
          <w:rFonts w:hint="eastAsia" w:ascii="仿宋_GB2312" w:eastAsia="仿宋_GB2312"/>
          <w:sz w:val="32"/>
          <w:szCs w:val="32"/>
        </w:rPr>
        <w:t>指财政当年拨付的资金事业收入。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二、事业收入：</w:t>
      </w:r>
      <w:r>
        <w:rPr>
          <w:rFonts w:hint="eastAsia" w:ascii="仿宋_GB2312" w:eastAsia="仿宋_GB2312"/>
          <w:sz w:val="32"/>
          <w:szCs w:val="32"/>
        </w:rPr>
        <w:t>指事业单位开展专业业务活动及辅动所取得的收入。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三、经营收入：</w:t>
      </w:r>
      <w:r>
        <w:rPr>
          <w:rFonts w:hint="eastAsia" w:ascii="仿宋_GB2312" w:eastAsia="仿宋_GB2312"/>
          <w:sz w:val="32"/>
          <w:szCs w:val="32"/>
        </w:rPr>
        <w:t>指事业单位在专业业务活动及其辅助活动之外开展非独立核算经营活动取得的收入。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四、其他收入：</w:t>
      </w:r>
      <w:r>
        <w:rPr>
          <w:rFonts w:hint="eastAsia" w:ascii="仿宋_GB2312" w:eastAsia="仿宋_GB2312"/>
          <w:sz w:val="32"/>
          <w:szCs w:val="32"/>
        </w:rPr>
        <w:t>指除上述“财政拨款收入”、“事业收入”、“经营收入”等以外的收入。主要是非本级财政拨款、存款利息收入、事业单位固定资产出租收入等。</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五、用事业基金弥补收支差额：</w:t>
      </w:r>
      <w:r>
        <w:rPr>
          <w:rFonts w:hint="eastAsia" w:ascii="仿宋_GB2312" w:eastAsia="仿宋_GB2312"/>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六、年初结转和结余：</w:t>
      </w:r>
      <w:r>
        <w:rPr>
          <w:rFonts w:hint="eastAsia" w:ascii="仿宋_GB2312" w:eastAsia="仿宋_GB2312"/>
          <w:sz w:val="32"/>
          <w:szCs w:val="32"/>
        </w:rPr>
        <w:t>指以前年度尚未完成、结转到本年按有关规定继续使用的资金。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七、结余分配：</w:t>
      </w:r>
      <w:r>
        <w:rPr>
          <w:rFonts w:hint="eastAsia" w:ascii="仿宋_GB2312" w:eastAsia="仿宋_GB2312"/>
          <w:sz w:val="32"/>
          <w:szCs w:val="32"/>
        </w:rPr>
        <w:t>指事业事位按规定提取的职工福利基金、事业基金和缴纳的所得税，以及建设单位按规定应交回的基本建设竣工项目结余资金。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九、基本支出：</w:t>
      </w:r>
      <w:r>
        <w:rPr>
          <w:rFonts w:hint="eastAsia" w:ascii="仿宋_GB2312" w:eastAsia="仿宋_GB2312"/>
          <w:sz w:val="32"/>
          <w:szCs w:val="32"/>
        </w:rPr>
        <w:t>指为保障机构正常运转、完成日常工作任务面发生的人员支出和公用支出。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十、项目支出：</w:t>
      </w:r>
      <w:r>
        <w:rPr>
          <w:rFonts w:hint="eastAsia" w:ascii="仿宋_GB2312" w:eastAsia="仿宋_GB2312"/>
          <w:sz w:val="32"/>
          <w:szCs w:val="32"/>
        </w:rPr>
        <w:t>指在基本支出这外为完成特定行政任务和事业发展目标所发生的支出。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十一、经营支出：</w:t>
      </w:r>
      <w:r>
        <w:rPr>
          <w:rFonts w:hint="eastAsia" w:ascii="仿宋_GB2312" w:eastAsia="仿宋_GB2312"/>
          <w:sz w:val="32"/>
          <w:szCs w:val="32"/>
        </w:rPr>
        <w:t>指事业单位在专业业务活动及其辅助活动之外开展非独立核算经营活动所发生的支出。</w:t>
      </w:r>
    </w:p>
    <w:p>
      <w:pPr>
        <w:spacing w:line="288" w:lineRule="auto"/>
        <w:ind w:left="1" w:firstLine="630" w:firstLineChars="196"/>
        <w:rPr>
          <w:rFonts w:ascii="仿宋_GB2312" w:hAnsi="宋体" w:eastAsia="仿宋_GB2312" w:cs="宋体"/>
          <w:kern w:val="0"/>
          <w:sz w:val="32"/>
          <w:szCs w:val="32"/>
        </w:rPr>
      </w:pPr>
      <w:r>
        <w:rPr>
          <w:rFonts w:hint="eastAsia" w:ascii="仿宋_GB2312" w:eastAsia="仿宋_GB2312"/>
          <w:b/>
          <w:sz w:val="32"/>
          <w:szCs w:val="32"/>
        </w:rPr>
        <w:t>十二、“三公”经费：</w:t>
      </w:r>
      <w:r>
        <w:rPr>
          <w:rFonts w:hint="eastAsia" w:ascii="仿宋_GB2312" w:hAnsi="宋体" w:eastAsia="仿宋_GB2312" w:cs="宋体"/>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十三、机关运行经费：</w:t>
      </w:r>
      <w:r>
        <w:rPr>
          <w:rFonts w:hint="eastAsia" w:ascii="仿宋_GB2312" w:eastAsia="仿宋_GB2312"/>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pPr>
        <w:spacing w:line="288" w:lineRule="auto"/>
        <w:ind w:left="1" w:firstLine="627" w:firstLineChars="196"/>
        <w:rPr>
          <w:rFonts w:ascii="仿宋_GB2312" w:eastAsia="仿宋_GB2312"/>
          <w:sz w:val="32"/>
          <w:szCs w:val="32"/>
        </w:rPr>
      </w:pPr>
      <w:r>
        <w:rPr>
          <w:rFonts w:hint="eastAsia" w:ascii="仿宋_GB2312" w:eastAsia="仿宋_GB2312"/>
          <w:sz w:val="32"/>
          <w:szCs w:val="32"/>
        </w:rPr>
        <w:t>……</w:t>
      </w:r>
    </w:p>
    <w:p>
      <w:pPr>
        <w:spacing w:line="288" w:lineRule="auto"/>
        <w:rPr>
          <w:rFonts w:hint="eastAsia" w:ascii="仿宋_GB2312" w:eastAsia="仿宋_GB2312"/>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080E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2C6C45"/>
    <w:multiLevelType w:val="singleLevel"/>
    <w:tmpl w:val="9B2C6C45"/>
    <w:lvl w:ilvl="0" w:tentative="0">
      <w:start w:val="1"/>
      <w:numFmt w:val="chineseCounting"/>
      <w:suff w:val="space"/>
      <w:lvlText w:val="第%1部分"/>
      <w:lvlJc w:val="left"/>
      <w:rPr>
        <w:rFonts w:hint="eastAsia"/>
      </w:rPr>
    </w:lvl>
  </w:abstractNum>
  <w:abstractNum w:abstractNumId="1">
    <w:nsid w:val="D14B917A"/>
    <w:multiLevelType w:val="singleLevel"/>
    <w:tmpl w:val="D14B917A"/>
    <w:lvl w:ilvl="0" w:tentative="0">
      <w:start w:val="1"/>
      <w:numFmt w:val="chineseCounting"/>
      <w:suff w:val="space"/>
      <w:lvlText w:val="第%1部分"/>
      <w:lvlJc w:val="left"/>
      <w:rPr>
        <w:rFonts w:hint="eastAsia"/>
      </w:rPr>
    </w:lvl>
  </w:abstractNum>
  <w:abstractNum w:abstractNumId="2">
    <w:nsid w:val="FCE60A2C"/>
    <w:multiLevelType w:val="singleLevel"/>
    <w:tmpl w:val="FCE60A2C"/>
    <w:lvl w:ilvl="0" w:tentative="0">
      <w:start w:val="1"/>
      <w:numFmt w:val="decimal"/>
      <w:lvlText w:val="%1."/>
      <w:lvlJc w:val="left"/>
      <w:pPr>
        <w:tabs>
          <w:tab w:val="left" w:pos="312"/>
        </w:tabs>
      </w:pPr>
    </w:lvl>
  </w:abstractNum>
  <w:abstractNum w:abstractNumId="3">
    <w:nsid w:val="07330B99"/>
    <w:multiLevelType w:val="singleLevel"/>
    <w:tmpl w:val="07330B99"/>
    <w:lvl w:ilvl="0" w:tentative="0">
      <w:start w:val="3"/>
      <w:numFmt w:val="chineseCounting"/>
      <w:suff w:val="nothing"/>
      <w:lvlText w:val="（%1）"/>
      <w:lvlJc w:val="left"/>
      <w:rPr>
        <w:rFonts w:hint="eastAsia"/>
      </w:rPr>
    </w:lvl>
  </w:abstractNum>
  <w:abstractNum w:abstractNumId="4">
    <w:nsid w:val="074356A6"/>
    <w:multiLevelType w:val="singleLevel"/>
    <w:tmpl w:val="074356A6"/>
    <w:lvl w:ilvl="0" w:tentative="0">
      <w:start w:val="1"/>
      <w:numFmt w:val="decimal"/>
      <w:suff w:val="nothing"/>
      <w:lvlText w:val="（%1）"/>
      <w:lvlJc w:val="left"/>
    </w:lvl>
  </w:abstractNum>
  <w:abstractNum w:abstractNumId="5">
    <w:nsid w:val="5A5F50C1"/>
    <w:multiLevelType w:val="singleLevel"/>
    <w:tmpl w:val="5A5F50C1"/>
    <w:lvl w:ilvl="0" w:tentative="0">
      <w:start w:val="1"/>
      <w:numFmt w:val="chineseCounting"/>
      <w:suff w:val="nothing"/>
      <w:lvlText w:val="%1、"/>
      <w:lvlJc w:val="left"/>
    </w:lvl>
  </w:abstractNum>
  <w:abstractNum w:abstractNumId="6">
    <w:nsid w:val="6E5D9C9B"/>
    <w:multiLevelType w:val="singleLevel"/>
    <w:tmpl w:val="6E5D9C9B"/>
    <w:lvl w:ilvl="0" w:tentative="0">
      <w:start w:val="4"/>
      <w:numFmt w:val="decimal"/>
      <w:suff w:val="nothing"/>
      <w:lvlText w:val="（%1）"/>
      <w:lvlJc w:val="left"/>
    </w:lvl>
  </w:abstractNum>
  <w:num w:numId="1">
    <w:abstractNumId w:val="0"/>
  </w:num>
  <w:num w:numId="2">
    <w:abstractNumId w:val="1"/>
  </w:num>
  <w:num w:numId="3">
    <w:abstractNumId w:val="4"/>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32190"/>
    <w:rsid w:val="100C3066"/>
    <w:rsid w:val="117E1214"/>
    <w:rsid w:val="177D4A24"/>
    <w:rsid w:val="18D976D4"/>
    <w:rsid w:val="205C6F44"/>
    <w:rsid w:val="265E080C"/>
    <w:rsid w:val="5D8515CA"/>
    <w:rsid w:val="64BC78CB"/>
    <w:rsid w:val="6BDD3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333333"/>
      <w:u w:val="none"/>
    </w:rPr>
  </w:style>
  <w:style w:type="character" w:styleId="5">
    <w:name w:val="Hyperlink"/>
    <w:basedOn w:val="3"/>
    <w:qFormat/>
    <w:uiPriority w:val="0"/>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d(╯WINS╰)b</cp:lastModifiedBy>
  <dcterms:modified xsi:type="dcterms:W3CDTF">2018-04-03T01:46:12Z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