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ascii="方正小标宋简体" w:eastAsia="方正小标宋简体"/>
          <w:sz w:val="44"/>
          <w:szCs w:val="44"/>
        </w:rPr>
      </w:pPr>
    </w:p>
    <w:p>
      <w:pPr>
        <w:ind w:firstLine="660" w:firstLineChars="150"/>
        <w:jc w:val="center"/>
        <w:rPr>
          <w:rFonts w:hint="eastAsia" w:ascii="方正小标宋简体" w:eastAsia="方正小标宋简体"/>
          <w:sz w:val="44"/>
          <w:szCs w:val="44"/>
          <w:u w:val="none"/>
          <w:lang w:eastAsia="zh-CN"/>
        </w:rPr>
      </w:pPr>
      <w:r>
        <w:rPr>
          <w:rFonts w:hint="eastAsia" w:ascii="方正小标宋简体" w:eastAsia="方正小标宋简体"/>
          <w:sz w:val="44"/>
          <w:szCs w:val="44"/>
        </w:rPr>
        <w:t>2016年度</w:t>
      </w:r>
      <w:r>
        <w:rPr>
          <w:rFonts w:hint="eastAsia" w:ascii="方正小标宋简体" w:eastAsia="方正小标宋简体"/>
          <w:color w:val="auto"/>
          <w:sz w:val="44"/>
          <w:szCs w:val="44"/>
          <w:u w:val="none"/>
          <w:lang w:eastAsia="zh-CN"/>
        </w:rPr>
        <w:t>罗定市太平镇卫生院</w:t>
      </w:r>
    </w:p>
    <w:p>
      <w:pPr>
        <w:ind w:firstLine="660" w:firstLineChars="150"/>
        <w:jc w:val="center"/>
        <w:rPr>
          <w:rFonts w:ascii="方正小标宋简体" w:eastAsia="方正小标宋简体"/>
          <w:sz w:val="44"/>
          <w:szCs w:val="44"/>
        </w:rPr>
      </w:pPr>
      <w:r>
        <w:rPr>
          <w:rFonts w:hint="eastAsia" w:ascii="方正小标宋简体" w:eastAsia="方正小标宋简体"/>
          <w:sz w:val="44"/>
          <w:szCs w:val="44"/>
        </w:rPr>
        <w:t>部门决算公开</w:t>
      </w:r>
    </w:p>
    <w:p>
      <w:pPr>
        <w:ind w:left="420"/>
        <w:jc w:val="center"/>
        <w:rPr>
          <w:rFonts w:ascii="黑体" w:hAnsi="宋体" w:eastAsia="黑体"/>
          <w:b/>
          <w:sz w:val="44"/>
          <w:szCs w:val="44"/>
        </w:rPr>
      </w:pPr>
      <w:r>
        <w:rPr>
          <w:rFonts w:hint="eastAsia" w:ascii="方正小标宋简体" w:eastAsia="方正小标宋简体"/>
          <w:sz w:val="44"/>
          <w:szCs w:val="44"/>
        </w:rPr>
        <w:br w:type="page"/>
      </w:r>
      <w:r>
        <w:rPr>
          <w:rFonts w:hint="eastAsia" w:ascii="黑体" w:hAnsi="宋体" w:eastAsia="黑体"/>
          <w:b/>
          <w:sz w:val="44"/>
          <w:szCs w:val="44"/>
        </w:rPr>
        <w:t>目       录</w:t>
      </w:r>
    </w:p>
    <w:p>
      <w:pPr>
        <w:jc w:val="center"/>
        <w:rPr>
          <w:rFonts w:ascii="仿宋_GB2312" w:hAnsi="宋体" w:eastAsia="仿宋_GB2312"/>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第一部分   </w:t>
      </w:r>
      <w:r>
        <w:rPr>
          <w:rFonts w:hint="eastAsia" w:ascii="宋体" w:hAnsi="宋体"/>
          <w:b/>
          <w:sz w:val="36"/>
          <w:szCs w:val="36"/>
          <w:lang w:eastAsia="zh-CN"/>
        </w:rPr>
        <w:t>罗定市太平镇卫生院</w:t>
      </w:r>
      <w:r>
        <w:rPr>
          <w:rFonts w:hint="eastAsia" w:ascii="宋体" w:hAnsi="宋体" w:eastAsia="宋体"/>
          <w:b/>
          <w:sz w:val="36"/>
          <w:szCs w:val="36"/>
        </w:rPr>
        <w:t>概况</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一、 部门</w:t>
      </w:r>
      <w:r>
        <w:rPr>
          <w:rFonts w:hint="eastAsia" w:ascii="仿宋_GB2312" w:eastAsia="仿宋_GB2312"/>
          <w:sz w:val="32"/>
          <w:szCs w:val="32"/>
          <w:lang w:eastAsia="zh-CN"/>
        </w:rPr>
        <w:t>职责</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 xml:space="preserve">二、 </w:t>
      </w:r>
      <w:r>
        <w:rPr>
          <w:rFonts w:hint="eastAsia" w:ascii="仿宋_GB2312" w:eastAsia="仿宋_GB2312"/>
          <w:sz w:val="32"/>
          <w:szCs w:val="32"/>
          <w:lang w:eastAsia="zh-CN"/>
        </w:rPr>
        <w:t>机构设置</w:t>
      </w: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第二部分  </w:t>
      </w:r>
      <w:r>
        <w:rPr>
          <w:rFonts w:hint="eastAsia" w:ascii="宋体" w:hAnsi="宋体"/>
          <w:b/>
          <w:sz w:val="36"/>
          <w:szCs w:val="36"/>
          <w:lang w:eastAsia="zh-CN"/>
        </w:rPr>
        <w:t>罗定市太平镇卫生院</w:t>
      </w:r>
      <w:r>
        <w:rPr>
          <w:rFonts w:hint="eastAsia" w:ascii="宋体" w:hAnsi="宋体"/>
          <w:b/>
          <w:sz w:val="36"/>
          <w:szCs w:val="36"/>
          <w:lang w:val="en-US" w:eastAsia="zh-CN"/>
        </w:rPr>
        <w:t>2016</w:t>
      </w:r>
      <w:r>
        <w:rPr>
          <w:rFonts w:hint="eastAsia" w:ascii="宋体" w:hAnsi="宋体" w:eastAsia="宋体"/>
          <w:b/>
          <w:sz w:val="36"/>
          <w:szCs w:val="36"/>
        </w:rPr>
        <w:t>年部门决算表</w:t>
      </w:r>
    </w:p>
    <w:p>
      <w:pPr>
        <w:spacing w:line="288" w:lineRule="auto"/>
        <w:ind w:firstLine="640" w:firstLineChars="200"/>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pPr>
        <w:spacing w:line="288" w:lineRule="auto"/>
        <w:ind w:firstLine="640" w:firstLineChars="200"/>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pPr>
        <w:spacing w:line="288" w:lineRule="auto"/>
        <w:ind w:firstLine="640" w:firstLineChars="200"/>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财政拨款“三公”经费支出决算表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八、政府性基金预算财政拨款收入支出决算表</w:t>
      </w:r>
    </w:p>
    <w:p>
      <w:pPr>
        <w:spacing w:line="288" w:lineRule="auto"/>
        <w:ind w:left="2886" w:leftChars="342" w:hanging="2168" w:hangingChars="600"/>
        <w:outlineLvl w:val="0"/>
        <w:rPr>
          <w:rFonts w:hint="eastAsia" w:ascii="宋体" w:hAnsi="宋体" w:eastAsia="宋体"/>
          <w:b/>
          <w:sz w:val="36"/>
          <w:szCs w:val="36"/>
        </w:rPr>
      </w:pPr>
      <w:r>
        <w:rPr>
          <w:rFonts w:hint="eastAsia" w:ascii="宋体" w:hAnsi="宋体" w:eastAsia="宋体"/>
          <w:b/>
          <w:sz w:val="36"/>
          <w:szCs w:val="36"/>
        </w:rPr>
        <w:t xml:space="preserve">第三部分   </w:t>
      </w:r>
      <w:r>
        <w:rPr>
          <w:rFonts w:hint="eastAsia" w:ascii="宋体" w:hAnsi="宋体"/>
          <w:b/>
          <w:sz w:val="36"/>
          <w:szCs w:val="36"/>
          <w:lang w:eastAsia="zh-CN"/>
        </w:rPr>
        <w:t>罗定市太平镇卫生院</w:t>
      </w:r>
      <w:r>
        <w:rPr>
          <w:rFonts w:hint="eastAsia" w:ascii="宋体" w:hAnsi="宋体"/>
          <w:b/>
          <w:sz w:val="36"/>
          <w:szCs w:val="36"/>
          <w:lang w:val="en-US" w:eastAsia="zh-CN"/>
        </w:rPr>
        <w:t>2016</w:t>
      </w:r>
      <w:r>
        <w:rPr>
          <w:rFonts w:hint="eastAsia" w:ascii="宋体" w:hAnsi="宋体" w:eastAsia="宋体"/>
          <w:b/>
          <w:sz w:val="36"/>
          <w:szCs w:val="36"/>
        </w:rPr>
        <w:t>年部门决算情况说明</w:t>
      </w:r>
    </w:p>
    <w:p>
      <w:pPr>
        <w:spacing w:line="288" w:lineRule="auto"/>
        <w:ind w:left="718" w:leftChars="342" w:firstLine="0" w:firstLineChars="0"/>
        <w:outlineLvl w:val="0"/>
        <w:rPr>
          <w:rFonts w:hint="eastAsia" w:ascii="宋体" w:hAnsi="宋体" w:eastAsia="宋体"/>
          <w:b/>
          <w:sz w:val="36"/>
          <w:szCs w:val="36"/>
        </w:rPr>
      </w:pPr>
    </w:p>
    <w:p>
      <w:pPr>
        <w:spacing w:line="288" w:lineRule="auto"/>
        <w:ind w:firstLine="723" w:firstLineChars="200"/>
        <w:rPr>
          <w:rFonts w:ascii="宋体" w:hAnsi="宋体" w:eastAsia="宋体"/>
          <w:b/>
          <w:sz w:val="36"/>
          <w:szCs w:val="36"/>
        </w:rPr>
      </w:pPr>
      <w:r>
        <w:rPr>
          <w:rFonts w:hint="eastAsia" w:ascii="宋体" w:hAnsi="宋体" w:eastAsia="宋体"/>
          <w:b/>
          <w:sz w:val="36"/>
          <w:szCs w:val="36"/>
        </w:rPr>
        <w:t>第四部分  名词解释</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第一部分   </w:t>
      </w:r>
      <w:r>
        <w:rPr>
          <w:rFonts w:hint="eastAsia" w:ascii="宋体" w:hAnsi="宋体"/>
          <w:b/>
          <w:sz w:val="36"/>
          <w:szCs w:val="36"/>
          <w:lang w:eastAsia="zh-CN"/>
        </w:rPr>
        <w:t>罗定市太平镇卫生院</w:t>
      </w:r>
      <w:r>
        <w:rPr>
          <w:rFonts w:hint="eastAsia" w:ascii="宋体" w:hAnsi="宋体" w:eastAsia="宋体"/>
          <w:b/>
          <w:sz w:val="36"/>
          <w:szCs w:val="36"/>
        </w:rPr>
        <w:t>概况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（一）部门主要</w:t>
      </w:r>
      <w:r>
        <w:rPr>
          <w:rFonts w:hint="eastAsia" w:ascii="仿宋_GB2312" w:eastAsia="仿宋_GB2312"/>
          <w:b/>
          <w:sz w:val="32"/>
          <w:szCs w:val="32"/>
          <w:lang w:eastAsia="zh-CN"/>
        </w:rPr>
        <w:t>职责</w:t>
      </w:r>
    </w:p>
    <w:p>
      <w:pPr>
        <w:keepNext w:val="0"/>
        <w:keepLines w:val="0"/>
        <w:widowControl w:val="0"/>
        <w:suppressLineNumbers w:val="0"/>
        <w:spacing w:before="0" w:beforeAutospacing="0" w:after="0" w:afterAutospacing="0" w:line="288" w:lineRule="auto"/>
        <w:ind w:left="0" w:right="0" w:firstLine="640" w:firstLineChars="200"/>
        <w:jc w:val="both"/>
        <w:rPr>
          <w:rFonts w:hint="eastAsia" w:ascii="仿宋_GB2312" w:hAnsi="仿宋_GB2312" w:eastAsia="仿宋_GB2312" w:cs="仿宋_GB2312"/>
          <w:kern w:val="0"/>
          <w:sz w:val="32"/>
          <w:szCs w:val="32"/>
          <w:lang w:val="en-US"/>
        </w:rPr>
      </w:pPr>
      <w:r>
        <w:rPr>
          <w:rFonts w:hint="eastAsia" w:ascii="仿宋_GB2312" w:eastAsia="仿宋_GB2312"/>
          <w:sz w:val="32"/>
          <w:szCs w:val="32"/>
          <w:lang w:eastAsia="zh-CN"/>
        </w:rPr>
        <w:t>罗定市太平镇卫生院是一所集医疗、预防、保健、康复和公共卫生服务于一体的一级甲等综合性医院，</w:t>
      </w:r>
      <w:r>
        <w:rPr>
          <w:rFonts w:hint="eastAsia" w:ascii="仿宋_GB2312" w:eastAsia="仿宋_GB2312"/>
          <w:sz w:val="32"/>
          <w:szCs w:val="32"/>
        </w:rPr>
        <w:t>主要</w:t>
      </w:r>
      <w:r>
        <w:rPr>
          <w:rFonts w:hint="eastAsia" w:ascii="仿宋_GB2312" w:eastAsia="仿宋_GB2312"/>
          <w:sz w:val="32"/>
          <w:szCs w:val="32"/>
          <w:lang w:eastAsia="zh-CN"/>
        </w:rPr>
        <w:t>职责</w:t>
      </w:r>
      <w:r>
        <w:rPr>
          <w:rFonts w:hint="eastAsia" w:ascii="仿宋_GB2312" w:eastAsia="仿宋_GB2312"/>
          <w:sz w:val="32"/>
          <w:szCs w:val="32"/>
        </w:rPr>
        <w:t>：</w:t>
      </w:r>
      <w:r>
        <w:rPr>
          <w:rFonts w:hint="eastAsia" w:ascii="仿宋_GB2312" w:hAnsi="仿宋_GB2312" w:eastAsia="仿宋_GB2312" w:cs="仿宋_GB2312"/>
          <w:kern w:val="2"/>
          <w:sz w:val="32"/>
          <w:szCs w:val="32"/>
          <w:lang w:val="en-US" w:eastAsia="zh-CN" w:bidi="ar"/>
        </w:rPr>
        <w:t>㈠宣传贯彻党和政府的各项医疗卫生方针政策，执行各项卫生法律法规；㈡协助本级政府制订和组织实施初级卫生保健、卫生事业发展规划和年度计划；㈢提供一般常见病、多发病、地方病和中医的基本诊疗服务和医学康复、妇幼保健、精神卫生、基本职业卫生、慢性病管理、计划生育技术等综合服务，承担乡村现场应急救护、转诊服务；㈣执行国家基本药物制度，实行基本药物的零差价率销售；</w:t>
      </w:r>
    </w:p>
    <w:p>
      <w:pPr>
        <w:keepNext w:val="0"/>
        <w:keepLines w:val="0"/>
        <w:widowControl w:val="0"/>
        <w:suppressLineNumbers w:val="0"/>
        <w:spacing w:before="0" w:beforeAutospacing="0" w:after="0" w:afterAutospacing="0" w:line="540" w:lineRule="exact"/>
        <w:ind w:left="0" w:right="0"/>
        <w:jc w:val="both"/>
        <w:rPr>
          <w:rFonts w:ascii="仿宋_GB2312" w:eastAsia="仿宋_GB2312"/>
          <w:sz w:val="32"/>
          <w:szCs w:val="32"/>
        </w:rPr>
      </w:pPr>
      <w:r>
        <w:rPr>
          <w:rFonts w:hint="eastAsia" w:ascii="仿宋_GB2312" w:hAnsi="仿宋_GB2312" w:eastAsia="仿宋_GB2312" w:cs="仿宋_GB2312"/>
          <w:kern w:val="2"/>
          <w:sz w:val="32"/>
          <w:szCs w:val="32"/>
          <w:lang w:val="en-US" w:eastAsia="zh-CN" w:bidi="ar"/>
        </w:rPr>
        <w:t>㈤开展疾病预防控制、计划免疫、卫生宣传、健康教育与咨询等公共卫生服务；㈥指导辖区内诊所、卫生站（室）业务工作，对村医和村妇幼保健人员进行相关技能培训；㈦开展新型农村合作医疗政策法规宣传与咨询，协助做好新型农村合作医疗服务和即时补偿结算等工作；落实农村居民健康档案的管理及服务；㈧协助开展辖区内卫生监督工作，协助处理区域内突发公共卫生事件，承担区域内公共卫生信息收集与报告等任务；㈨开展无偿献血宣传，促进无偿献血事业发展；㈩承担卫生行政部门规定或批准的其他公共卫生服务和适宜医疗服务。</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机构设置</w:t>
      </w:r>
    </w:p>
    <w:p>
      <w:pPr>
        <w:keepNext w:val="0"/>
        <w:keepLines w:val="0"/>
        <w:widowControl w:val="0"/>
        <w:suppressLineNumbers w:val="0"/>
        <w:spacing w:before="0" w:beforeAutospacing="0" w:after="0" w:afterAutospacing="0" w:line="288" w:lineRule="auto"/>
        <w:ind w:left="0" w:right="0" w:firstLine="640" w:firstLineChars="200"/>
        <w:jc w:val="both"/>
        <w:rPr>
          <w:rFonts w:ascii="仿宋_GB2312" w:eastAsia="仿宋_GB2312"/>
          <w:sz w:val="32"/>
          <w:szCs w:val="32"/>
        </w:rPr>
      </w:pPr>
      <w:r>
        <w:rPr>
          <w:rFonts w:hint="eastAsia" w:ascii="仿宋_GB2312" w:hAnsi="仿宋_GB2312" w:eastAsia="仿宋_GB2312" w:cs="仿宋_GB2312"/>
          <w:kern w:val="2"/>
          <w:sz w:val="32"/>
          <w:szCs w:val="32"/>
          <w:lang w:val="en-US" w:eastAsia="zh-CN" w:bidi="ar"/>
        </w:rPr>
        <w:t>根据省编委办、省卫生厅、省财政厅和省民政厅《关于印发〈广东省乡镇卫生院机构编制标准〉的通知》（粤机编办[2011]36号）</w:t>
      </w:r>
      <w:r>
        <w:rPr>
          <w:rFonts w:hint="eastAsia" w:ascii="仿宋_GB2312" w:hAnsi="仿宋_GB2312" w:eastAsia="仿宋_GB2312" w:cs="仿宋_GB2312"/>
          <w:kern w:val="0"/>
          <w:sz w:val="32"/>
          <w:szCs w:val="32"/>
          <w:lang w:val="en-US" w:eastAsia="zh-CN" w:bidi="ar"/>
        </w:rPr>
        <w:t>文件精神，罗定市太平镇卫生院是罗定市卫生和计划生育局管理的公益一类事业单位，内设办公室、财务室、医务室、护理室、公共卫生服务管理室及中医管理室6个机构。</w:t>
      </w: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第二部分   </w:t>
      </w:r>
      <w:r>
        <w:rPr>
          <w:rFonts w:hint="eastAsia" w:ascii="宋体" w:hAnsi="宋体"/>
          <w:b/>
          <w:sz w:val="36"/>
          <w:szCs w:val="36"/>
          <w:lang w:eastAsia="zh-CN"/>
        </w:rPr>
        <w:t>罗定市太平镇卫生院</w:t>
      </w:r>
      <w:r>
        <w:rPr>
          <w:rFonts w:hint="eastAsia" w:ascii="宋体" w:hAnsi="宋体"/>
          <w:b/>
          <w:sz w:val="36"/>
          <w:szCs w:val="36"/>
          <w:lang w:val="en-US" w:eastAsia="zh-CN"/>
        </w:rPr>
        <w:t>2016</w:t>
      </w:r>
      <w:r>
        <w:rPr>
          <w:rFonts w:hint="eastAsia" w:ascii="宋体" w:hAnsi="宋体" w:eastAsia="宋体"/>
          <w:b/>
          <w:sz w:val="36"/>
          <w:szCs w:val="36"/>
        </w:rPr>
        <w:t>年部门决算表</w:t>
      </w:r>
    </w:p>
    <w:tbl>
      <w:tblPr>
        <w:tblStyle w:val="5"/>
        <w:tblW w:w="9088" w:type="dxa"/>
        <w:tblInd w:w="93" w:type="dxa"/>
        <w:tblLayout w:type="fixed"/>
        <w:tblCellMar>
          <w:top w:w="0" w:type="dxa"/>
          <w:left w:w="108" w:type="dxa"/>
          <w:bottom w:w="0" w:type="dxa"/>
          <w:right w:w="108" w:type="dxa"/>
        </w:tblCellMar>
      </w:tblPr>
      <w:tblGrid>
        <w:gridCol w:w="2567"/>
        <w:gridCol w:w="769"/>
        <w:gridCol w:w="1074"/>
        <w:gridCol w:w="2693"/>
        <w:gridCol w:w="769"/>
        <w:gridCol w:w="1216"/>
      </w:tblGrid>
      <w:tr>
        <w:tblPrEx>
          <w:tblLayout w:type="fixed"/>
          <w:tblCellMar>
            <w:top w:w="0" w:type="dxa"/>
            <w:left w:w="108" w:type="dxa"/>
            <w:bottom w:w="0" w:type="dxa"/>
            <w:right w:w="108" w:type="dxa"/>
          </w:tblCellMar>
        </w:tblPrEx>
        <w:trPr>
          <w:trHeight w:val="360" w:hRule="atLeast"/>
        </w:trPr>
        <w:tc>
          <w:tcPr>
            <w:tcW w:w="9088" w:type="dxa"/>
            <w:gridSpan w:val="6"/>
            <w:vAlign w:val="center"/>
          </w:tcPr>
          <w:p>
            <w:pPr>
              <w:widowControl/>
              <w:rPr>
                <w:rFonts w:ascii="华文中宋" w:hAnsi="华文中宋" w:eastAsia="华文中宋" w:cs="宋体"/>
                <w:color w:val="000000"/>
                <w:kern w:val="0"/>
                <w:sz w:val="32"/>
                <w:szCs w:val="32"/>
              </w:rPr>
            </w:pPr>
          </w:p>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Layout w:type="fixed"/>
          <w:tblCellMar>
            <w:top w:w="0" w:type="dxa"/>
            <w:left w:w="108" w:type="dxa"/>
            <w:bottom w:w="0" w:type="dxa"/>
            <w:right w:w="108" w:type="dxa"/>
          </w:tblCellMar>
        </w:tblPrEx>
        <w:trPr>
          <w:trHeight w:val="199" w:hRule="atLeast"/>
        </w:trPr>
        <w:tc>
          <w:tcPr>
            <w:tcW w:w="256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公开01表</w:t>
            </w:r>
          </w:p>
        </w:tc>
      </w:tr>
      <w:tr>
        <w:tblPrEx>
          <w:tblLayout w:type="fixed"/>
          <w:tblCellMar>
            <w:top w:w="0" w:type="dxa"/>
            <w:left w:w="108" w:type="dxa"/>
            <w:bottom w:w="0" w:type="dxa"/>
            <w:right w:w="108" w:type="dxa"/>
          </w:tblCellMar>
        </w:tblPrEx>
        <w:trPr>
          <w:trHeight w:val="300" w:hRule="atLeast"/>
        </w:trPr>
        <w:tc>
          <w:tcPr>
            <w:tcW w:w="2567" w:type="dxa"/>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39" w:hRule="atLeast"/>
        </w:trPr>
        <w:tc>
          <w:tcPr>
            <w:tcW w:w="4410" w:type="dxa"/>
            <w:gridSpan w:val="3"/>
            <w:tcBorders>
              <w:top w:val="single" w:color="auto" w:sz="8" w:space="0"/>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4678"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c>
          <w:tcPr>
            <w:tcW w:w="2693" w:type="dxa"/>
            <w:tcBorders>
              <w:top w:val="nil"/>
              <w:left w:val="nil"/>
              <w:bottom w:val="single" w:color="auto" w:sz="4" w:space="0"/>
              <w:right w:val="single" w:color="auto" w:sz="4" w:space="0"/>
            </w:tcBorders>
            <w:shd w:val="clear" w:color="auto" w:fill="FFFFFF"/>
            <w:vAlign w:val="center"/>
          </w:tcPr>
          <w:p>
            <w:pPr>
              <w:widowControl/>
              <w:ind w:right="315" w:rightChars="150"/>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269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一、财政拨款收入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1403.77</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二、上级补助收入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三、事业收入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828.05</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四、经营收入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五、附属单位上缴收入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六、其他收入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4"/>
              </w:rPr>
              <w:t>……</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eastAsia="zh-CN"/>
              </w:rPr>
            </w:pPr>
            <w:r>
              <w:rPr>
                <w:rFonts w:hint="eastAsia" w:ascii="宋体" w:hAnsi="宋体" w:cs="宋体"/>
                <w:kern w:val="0"/>
                <w:sz w:val="21"/>
                <w:szCs w:val="21"/>
                <w:lang w:eastAsia="zh-CN"/>
              </w:rPr>
              <w:t>八、社会保障和就业支出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8.86</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0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hint="eastAsia" w:ascii="宋体" w:hAnsi="宋体" w:eastAsia="宋体" w:cs="宋体"/>
                <w:kern w:val="0"/>
                <w:sz w:val="22"/>
                <w:szCs w:val="22"/>
                <w:lang w:eastAsia="zh-CN"/>
              </w:rPr>
            </w:pPr>
            <w:r>
              <w:rPr>
                <w:rFonts w:hint="eastAsia" w:ascii="宋体" w:hAnsi="宋体" w:cs="宋体"/>
                <w:kern w:val="0"/>
                <w:sz w:val="18"/>
                <w:szCs w:val="18"/>
                <w:lang w:eastAsia="zh-CN"/>
              </w:rPr>
              <w:t>九、医疗卫生与计划生育支出</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2160.23</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2231.83</w:t>
            </w: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2169.1</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用事业基金弥补收支差额</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结余分配</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62.73</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年初结转和结余</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年末结转和结余</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nil"/>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1074"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1216" w:type="dxa"/>
            <w:tcBorders>
              <w:top w:val="nil"/>
              <w:left w:val="nil"/>
              <w:bottom w:val="nil"/>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single" w:color="auto" w:sz="4" w:space="0"/>
              <w:left w:val="single" w:color="auto" w:sz="8" w:space="0"/>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1074" w:type="dxa"/>
            <w:tcBorders>
              <w:top w:val="single" w:color="auto" w:sz="4" w:space="0"/>
              <w:left w:val="nil"/>
              <w:bottom w:val="single" w:color="auto" w:sz="8"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2231.83</w:t>
            </w:r>
            <w:r>
              <w:rPr>
                <w:rFonts w:hint="eastAsia" w:ascii="宋体" w:hAnsi="宋体" w:cs="宋体"/>
                <w:kern w:val="0"/>
                <w:sz w:val="22"/>
                <w:szCs w:val="22"/>
              </w:rPr>
              <w:t>　</w:t>
            </w:r>
          </w:p>
        </w:tc>
        <w:tc>
          <w:tcPr>
            <w:tcW w:w="2693" w:type="dxa"/>
            <w:tcBorders>
              <w:top w:val="single" w:color="auto" w:sz="4" w:space="0"/>
              <w:left w:val="nil"/>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1216" w:type="dxa"/>
            <w:tcBorders>
              <w:top w:val="single" w:color="auto" w:sz="4" w:space="0"/>
              <w:left w:val="nil"/>
              <w:bottom w:val="single" w:color="auto" w:sz="8" w:space="0"/>
              <w:right w:val="single" w:color="auto" w:sz="8"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2231.83</w:t>
            </w:r>
          </w:p>
        </w:tc>
      </w:tr>
    </w:tbl>
    <w:p>
      <w:pPr>
        <w:spacing w:line="288" w:lineRule="auto"/>
        <w:ind w:firstLine="560"/>
        <w:rPr>
          <w:rFonts w:ascii="仿宋_GB2312" w:eastAsia="仿宋_GB2312"/>
          <w:sz w:val="28"/>
          <w:szCs w:val="28"/>
        </w:rPr>
      </w:pPr>
      <w:r>
        <w:rPr>
          <w:rFonts w:hint="eastAsia" w:ascii="仿宋_GB2312" w:eastAsia="仿宋_GB2312"/>
          <w:sz w:val="28"/>
          <w:szCs w:val="28"/>
        </w:rPr>
        <w:t>注：本表反映部门本年度的总收支和年末结转情况。有关填表说明：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（1）本表中数据填列当年决算数，以“万元”为金额单位，保留两位小数。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（4）此表没有发生数据的，在合计和总计栏填“0”，并在该表下方附简要说明。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（5）该表数据来源于部门决算报表中的《收入支出决算总表》(财决01表)。</w:t>
      </w:r>
    </w:p>
    <w:p>
      <w:pPr>
        <w:spacing w:line="288" w:lineRule="auto"/>
        <w:ind w:firstLine="560"/>
        <w:rPr>
          <w:rFonts w:ascii="仿宋_GB2312" w:eastAsia="仿宋_GB2312"/>
          <w:sz w:val="28"/>
          <w:szCs w:val="28"/>
        </w:rPr>
      </w:pPr>
    </w:p>
    <w:tbl>
      <w:tblPr>
        <w:tblStyle w:val="5"/>
        <w:tblW w:w="9210" w:type="dxa"/>
        <w:tblInd w:w="93" w:type="dxa"/>
        <w:tblLayout w:type="fixed"/>
        <w:tblCellMar>
          <w:top w:w="0" w:type="dxa"/>
          <w:left w:w="108" w:type="dxa"/>
          <w:bottom w:w="0" w:type="dxa"/>
          <w:right w:w="108" w:type="dxa"/>
        </w:tblCellMar>
      </w:tblPr>
      <w:tblGrid>
        <w:gridCol w:w="459"/>
        <w:gridCol w:w="597"/>
        <w:gridCol w:w="1511"/>
        <w:gridCol w:w="1040"/>
        <w:gridCol w:w="945"/>
        <w:gridCol w:w="939"/>
        <w:gridCol w:w="797"/>
        <w:gridCol w:w="796"/>
        <w:gridCol w:w="992"/>
        <w:gridCol w:w="1134"/>
      </w:tblGrid>
      <w:tr>
        <w:tblPrEx>
          <w:tblLayout w:type="fixed"/>
          <w:tblCellMar>
            <w:top w:w="0" w:type="dxa"/>
            <w:left w:w="108" w:type="dxa"/>
            <w:bottom w:w="0" w:type="dxa"/>
            <w:right w:w="108" w:type="dxa"/>
          </w:tblCellMar>
        </w:tblPrEx>
        <w:trPr>
          <w:trHeight w:val="435" w:hRule="atLeast"/>
        </w:trPr>
        <w:tc>
          <w:tcPr>
            <w:tcW w:w="9210" w:type="dxa"/>
            <w:gridSpan w:val="10"/>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收入决算表</w:t>
            </w:r>
          </w:p>
        </w:tc>
      </w:tr>
      <w:tr>
        <w:tblPrEx>
          <w:tblLayout w:type="fixed"/>
          <w:tblCellMar>
            <w:top w:w="0" w:type="dxa"/>
            <w:left w:w="108" w:type="dxa"/>
            <w:bottom w:w="0" w:type="dxa"/>
            <w:right w:w="108" w:type="dxa"/>
          </w:tblCellMar>
        </w:tblPrEx>
        <w:trPr>
          <w:trHeight w:val="285" w:hRule="atLeast"/>
        </w:trPr>
        <w:tc>
          <w:tcPr>
            <w:tcW w:w="45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5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公开02表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1040"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本年收入合计</w:t>
            </w:r>
          </w:p>
        </w:tc>
        <w:tc>
          <w:tcPr>
            <w:tcW w:w="945" w:type="dxa"/>
            <w:vMerge w:val="restart"/>
            <w:tcBorders>
              <w:top w:val="single" w:color="auto" w:sz="8"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财政拨款收入</w:t>
            </w:r>
          </w:p>
        </w:tc>
        <w:tc>
          <w:tcPr>
            <w:tcW w:w="939"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上级补助收入</w:t>
            </w:r>
          </w:p>
        </w:tc>
        <w:tc>
          <w:tcPr>
            <w:tcW w:w="797"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事业收入</w:t>
            </w:r>
          </w:p>
        </w:tc>
        <w:tc>
          <w:tcPr>
            <w:tcW w:w="79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经营收入</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附属单位上缴收入</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trPr>
        <w:tc>
          <w:tcPr>
            <w:tcW w:w="1056" w:type="dxa"/>
            <w:gridSpan w:val="2"/>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511"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51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1040"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4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93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797"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79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7</w:t>
            </w:r>
          </w:p>
        </w:tc>
      </w:tr>
      <w:tr>
        <w:tblPrEx>
          <w:tblLayout w:type="fixed"/>
          <w:tblCellMar>
            <w:top w:w="0" w:type="dxa"/>
            <w:left w:w="108" w:type="dxa"/>
            <w:bottom w:w="0" w:type="dxa"/>
            <w:right w:w="108" w:type="dxa"/>
          </w:tblCellMar>
        </w:tblPrEx>
        <w:trPr>
          <w:trHeight w:val="450" w:hRule="atLeast"/>
        </w:trPr>
        <w:tc>
          <w:tcPr>
            <w:tcW w:w="2567" w:type="dxa"/>
            <w:gridSpan w:val="3"/>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2231.83</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1403.77</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828.05</w:t>
            </w: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201</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一般公共服务支出</w:t>
            </w:r>
          </w:p>
        </w:tc>
        <w:tc>
          <w:tcPr>
            <w:tcW w:w="1040"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20101</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人大事务</w:t>
            </w:r>
          </w:p>
        </w:tc>
        <w:tc>
          <w:tcPr>
            <w:tcW w:w="1040"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2010101</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行政运行</w:t>
            </w:r>
          </w:p>
        </w:tc>
        <w:tc>
          <w:tcPr>
            <w:tcW w:w="1040"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2010102</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一般行政管理事务</w:t>
            </w:r>
          </w:p>
        </w:tc>
        <w:tc>
          <w:tcPr>
            <w:tcW w:w="1040"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2010199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其他人大事务支出</w:t>
            </w:r>
          </w:p>
        </w:tc>
        <w:tc>
          <w:tcPr>
            <w:tcW w:w="104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w:t>
            </w:r>
          </w:p>
        </w:tc>
        <w:tc>
          <w:tcPr>
            <w:tcW w:w="104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208</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社会保障和就业支出</w:t>
            </w:r>
          </w:p>
        </w:tc>
        <w:tc>
          <w:tcPr>
            <w:tcW w:w="1040"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20805</w:t>
            </w: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行政事业单位离退休</w:t>
            </w:r>
          </w:p>
        </w:tc>
        <w:tc>
          <w:tcPr>
            <w:tcW w:w="1040"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2080501</w:t>
            </w: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归口管理的行政单位离退休</w:t>
            </w:r>
          </w:p>
        </w:tc>
        <w:tc>
          <w:tcPr>
            <w:tcW w:w="1040"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2080599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其他行政事业单位离退休</w:t>
            </w:r>
          </w:p>
        </w:tc>
        <w:tc>
          <w:tcPr>
            <w:tcW w:w="104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2080502</w:t>
            </w:r>
          </w:p>
        </w:tc>
        <w:tc>
          <w:tcPr>
            <w:tcW w:w="151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事业单位离退休</w:t>
            </w:r>
          </w:p>
        </w:tc>
        <w:tc>
          <w:tcPr>
            <w:tcW w:w="104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8.86</w:t>
            </w:r>
          </w:p>
        </w:tc>
        <w:tc>
          <w:tcPr>
            <w:tcW w:w="94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8.86</w:t>
            </w:r>
          </w:p>
        </w:tc>
        <w:tc>
          <w:tcPr>
            <w:tcW w:w="939"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7"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6"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2100302</w:t>
            </w:r>
          </w:p>
        </w:tc>
        <w:tc>
          <w:tcPr>
            <w:tcW w:w="151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乡镇卫生院</w:t>
            </w:r>
          </w:p>
        </w:tc>
        <w:tc>
          <w:tcPr>
            <w:tcW w:w="104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1932.34</w:t>
            </w:r>
          </w:p>
        </w:tc>
        <w:tc>
          <w:tcPr>
            <w:tcW w:w="94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1104.28</w:t>
            </w:r>
          </w:p>
        </w:tc>
        <w:tc>
          <w:tcPr>
            <w:tcW w:w="939"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828.05</w:t>
            </w:r>
          </w:p>
        </w:tc>
        <w:tc>
          <w:tcPr>
            <w:tcW w:w="796"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2100399</w:t>
            </w:r>
          </w:p>
        </w:tc>
        <w:tc>
          <w:tcPr>
            <w:tcW w:w="151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其他基层医疗卫生机构支出</w:t>
            </w:r>
          </w:p>
        </w:tc>
        <w:tc>
          <w:tcPr>
            <w:tcW w:w="104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33.0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33.0</w:t>
            </w:r>
          </w:p>
        </w:tc>
        <w:tc>
          <w:tcPr>
            <w:tcW w:w="939"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7"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6"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2100408</w:t>
            </w:r>
          </w:p>
        </w:tc>
        <w:tc>
          <w:tcPr>
            <w:tcW w:w="151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基本公共卫生服务</w:t>
            </w:r>
          </w:p>
        </w:tc>
        <w:tc>
          <w:tcPr>
            <w:tcW w:w="104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257.63</w:t>
            </w:r>
          </w:p>
        </w:tc>
        <w:tc>
          <w:tcPr>
            <w:tcW w:w="94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257.63</w:t>
            </w:r>
          </w:p>
        </w:tc>
        <w:tc>
          <w:tcPr>
            <w:tcW w:w="939"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7"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796"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注：本表反映部门本年度取得的各项收入情况。有关填表说明：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（3）1栏=（2+3+4+5+6+7）栏。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（5）该表数据来源于部门决算报表中的《收入决算表》（财决03表）。</w:t>
      </w:r>
    </w:p>
    <w:p>
      <w:pPr>
        <w:spacing w:line="360" w:lineRule="auto"/>
        <w:ind w:firstLine="523" w:firstLineChars="187"/>
        <w:rPr>
          <w:rFonts w:ascii="仿宋_GB2312" w:eastAsia="仿宋_GB2312"/>
          <w:sz w:val="28"/>
          <w:szCs w:val="28"/>
        </w:rPr>
      </w:pPr>
    </w:p>
    <w:p>
      <w:pPr>
        <w:spacing w:line="360" w:lineRule="auto"/>
        <w:ind w:firstLine="598" w:firstLineChars="187"/>
        <w:jc w:val="center"/>
        <w:rPr>
          <w:rFonts w:hint="eastAsia" w:ascii="华文中宋" w:hAnsi="华文中宋" w:eastAsia="华文中宋" w:cs="宋体"/>
          <w:color w:val="000000"/>
          <w:kern w:val="0"/>
          <w:sz w:val="32"/>
          <w:szCs w:val="32"/>
        </w:rPr>
      </w:pPr>
    </w:p>
    <w:p>
      <w:pPr>
        <w:spacing w:line="360" w:lineRule="auto"/>
        <w:ind w:firstLine="598" w:firstLineChars="187"/>
        <w:jc w:val="center"/>
        <w:rPr>
          <w:rFonts w:hint="eastAsia" w:ascii="华文中宋" w:hAnsi="华文中宋" w:eastAsia="华文中宋" w:cs="宋体"/>
          <w:color w:val="000000"/>
          <w:kern w:val="0"/>
          <w:sz w:val="32"/>
          <w:szCs w:val="32"/>
        </w:rPr>
      </w:pPr>
    </w:p>
    <w:p>
      <w:pPr>
        <w:spacing w:line="360" w:lineRule="auto"/>
        <w:ind w:firstLine="598" w:firstLineChars="187"/>
        <w:jc w:val="center"/>
        <w:rPr>
          <w:rFonts w:hint="eastAsia" w:ascii="华文中宋" w:hAnsi="华文中宋" w:eastAsia="华文中宋" w:cs="宋体"/>
          <w:color w:val="000000"/>
          <w:kern w:val="0"/>
          <w:sz w:val="32"/>
          <w:szCs w:val="32"/>
        </w:rPr>
      </w:pPr>
    </w:p>
    <w:p>
      <w:pPr>
        <w:spacing w:line="360" w:lineRule="auto"/>
        <w:ind w:firstLine="598" w:firstLineChars="187"/>
        <w:jc w:val="center"/>
        <w:rPr>
          <w:rFonts w:hint="eastAsia" w:ascii="华文中宋" w:hAnsi="华文中宋" w:eastAsia="华文中宋" w:cs="宋体"/>
          <w:color w:val="000000"/>
          <w:kern w:val="0"/>
          <w:sz w:val="32"/>
          <w:szCs w:val="32"/>
        </w:rPr>
      </w:pPr>
    </w:p>
    <w:p>
      <w:pPr>
        <w:spacing w:line="360" w:lineRule="auto"/>
        <w:ind w:firstLine="598" w:firstLineChars="187"/>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spacing w:line="360" w:lineRule="auto"/>
        <w:ind w:firstLine="374" w:firstLineChars="187"/>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公开03表</w:t>
      </w:r>
    </w:p>
    <w:p>
      <w:pPr>
        <w:spacing w:line="360" w:lineRule="auto"/>
        <w:ind w:firstLine="374" w:firstLineChars="187"/>
        <w:jc w:val="both"/>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p>
    <w:tbl>
      <w:tblPr>
        <w:tblStyle w:val="5"/>
        <w:tblW w:w="9176" w:type="dxa"/>
        <w:tblInd w:w="91" w:type="dxa"/>
        <w:tblLayout w:type="fixed"/>
        <w:tblCellMar>
          <w:top w:w="0" w:type="dxa"/>
          <w:left w:w="108" w:type="dxa"/>
          <w:bottom w:w="0" w:type="dxa"/>
          <w:right w:w="108" w:type="dxa"/>
        </w:tblCellMar>
      </w:tblPr>
      <w:tblGrid>
        <w:gridCol w:w="1225"/>
        <w:gridCol w:w="1909"/>
        <w:gridCol w:w="992"/>
        <w:gridCol w:w="956"/>
        <w:gridCol w:w="1055"/>
        <w:gridCol w:w="992"/>
        <w:gridCol w:w="913"/>
        <w:gridCol w:w="1134"/>
      </w:tblGrid>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95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基本支出</w:t>
            </w:r>
          </w:p>
        </w:tc>
        <w:tc>
          <w:tcPr>
            <w:tcW w:w="1055"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上缴上级支出</w:t>
            </w:r>
          </w:p>
        </w:tc>
        <w:tc>
          <w:tcPr>
            <w:tcW w:w="913"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经营支出</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48" w:hRule="atLeast"/>
          <w:tblHeader/>
        </w:trPr>
        <w:tc>
          <w:tcPr>
            <w:tcW w:w="1225" w:type="dxa"/>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909"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1225"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9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5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5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3134" w:type="dxa"/>
            <w:gridSpan w:val="2"/>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2169.1</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1"/>
                <w:szCs w:val="21"/>
                <w:lang w:val="en-US" w:eastAsia="zh-CN"/>
              </w:rPr>
              <w:t>1198.47</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970.63</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201</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一般公共服务支出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20101</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人大事务</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2010101</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行政运行</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2010102</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一般行政管理事务</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2010199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其他人大事务支出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社会保障和就业支出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20805</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行政事业单位离退休</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8"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2080501</w:t>
            </w:r>
          </w:p>
        </w:tc>
        <w:tc>
          <w:tcPr>
            <w:tcW w:w="1909" w:type="dxa"/>
            <w:tcBorders>
              <w:top w:val="nil"/>
              <w:left w:val="single" w:color="auto" w:sz="4" w:space="0"/>
              <w:bottom w:val="single" w:color="auto" w:sz="8"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归口管理的行政单位离退休</w:t>
            </w: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8"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2080599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其他行政事业单位离退休</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lang w:val="en-US" w:eastAsia="zh-CN"/>
              </w:rPr>
              <w:t>2080502</w:t>
            </w:r>
          </w:p>
        </w:tc>
        <w:tc>
          <w:tcPr>
            <w:tcW w:w="190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lang w:eastAsia="zh-CN"/>
              </w:rPr>
              <w:t>事业单位离退休</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8.86</w:t>
            </w:r>
          </w:p>
        </w:tc>
        <w:tc>
          <w:tcPr>
            <w:tcW w:w="95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8.86</w:t>
            </w:r>
          </w:p>
        </w:tc>
        <w:tc>
          <w:tcPr>
            <w:tcW w:w="105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val="en-US" w:eastAsia="zh-CN"/>
              </w:rPr>
              <w:t>2100302</w:t>
            </w:r>
          </w:p>
        </w:tc>
        <w:tc>
          <w:tcPr>
            <w:tcW w:w="190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eastAsia="zh-CN"/>
              </w:rPr>
              <w:t>乡镇卫生院</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1869.61</w:t>
            </w:r>
          </w:p>
        </w:tc>
        <w:tc>
          <w:tcPr>
            <w:tcW w:w="95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1189.61</w:t>
            </w:r>
          </w:p>
        </w:tc>
        <w:tc>
          <w:tcPr>
            <w:tcW w:w="105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680</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val="en-US" w:eastAsia="zh-CN"/>
              </w:rPr>
              <w:t>2100399</w:t>
            </w:r>
          </w:p>
        </w:tc>
        <w:tc>
          <w:tcPr>
            <w:tcW w:w="190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eastAsia="zh-CN"/>
              </w:rPr>
              <w:t>其他基层医疗卫生机构支出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33.0</w:t>
            </w:r>
          </w:p>
        </w:tc>
        <w:tc>
          <w:tcPr>
            <w:tcW w:w="95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33.0</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val="en-US" w:eastAsia="zh-CN"/>
              </w:rPr>
              <w:t>2100408</w:t>
            </w:r>
          </w:p>
        </w:tc>
        <w:tc>
          <w:tcPr>
            <w:tcW w:w="190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rPr>
            </w:pPr>
            <w:r>
              <w:rPr>
                <w:rFonts w:hint="eastAsia" w:ascii="仿宋_GB2312" w:hAnsi="宋体" w:eastAsia="仿宋_GB2312" w:cs="宋体"/>
                <w:kern w:val="0"/>
                <w:sz w:val="24"/>
                <w:lang w:eastAsia="zh-CN"/>
              </w:rPr>
              <w:t>基本公共卫生服务</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257.63</w:t>
            </w:r>
          </w:p>
        </w:tc>
        <w:tc>
          <w:tcPr>
            <w:tcW w:w="95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257.63</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4"/>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注：本表反映部门本年度各项支出情况。有关填表说明：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（5）该表数据来源于部门决算报表中的《支出决算表》（财决04表）。</w:t>
      </w:r>
    </w:p>
    <w:p>
      <w:pPr>
        <w:spacing w:line="288" w:lineRule="auto"/>
        <w:ind w:firstLine="643" w:firstLineChars="200"/>
        <w:rPr>
          <w:rFonts w:ascii="仿宋_GB2312" w:eastAsia="仿宋_GB2312"/>
          <w:b/>
          <w:sz w:val="32"/>
          <w:szCs w:val="32"/>
        </w:rPr>
      </w:pPr>
    </w:p>
    <w:p>
      <w:pPr>
        <w:spacing w:line="288" w:lineRule="auto"/>
        <w:ind w:firstLine="640" w:firstLineChars="20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p>
      <w:pPr>
        <w:spacing w:line="288" w:lineRule="auto"/>
        <w:ind w:firstLine="400" w:firstLineChars="200"/>
        <w:jc w:val="right"/>
        <w:rPr>
          <w:rFonts w:hint="eastAsia" w:ascii="宋体" w:hAnsi="宋体" w:cs="宋体"/>
          <w:color w:val="000000"/>
          <w:kern w:val="0"/>
          <w:sz w:val="20"/>
          <w:szCs w:val="20"/>
        </w:rPr>
      </w:pPr>
      <w:r>
        <w:rPr>
          <w:rFonts w:hint="eastAsia" w:ascii="宋体" w:hAnsi="宋体" w:cs="宋体"/>
          <w:color w:val="000000"/>
          <w:kern w:val="0"/>
          <w:sz w:val="20"/>
          <w:szCs w:val="20"/>
        </w:rPr>
        <w:t>公开04表</w:t>
      </w:r>
    </w:p>
    <w:p>
      <w:pPr>
        <w:spacing w:line="288" w:lineRule="auto"/>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r>
        <w:rPr>
          <w:rFonts w:hint="eastAsia" w:ascii="宋体" w:hAnsi="宋体" w:cs="宋体"/>
          <w:color w:val="000000"/>
          <w:kern w:val="0"/>
          <w:sz w:val="20"/>
          <w:szCs w:val="20"/>
          <w:lang w:val="en-US" w:eastAsia="zh-CN"/>
        </w:rPr>
        <w:t xml:space="preserve">  </w:t>
      </w:r>
    </w:p>
    <w:tbl>
      <w:tblPr>
        <w:tblStyle w:val="5"/>
        <w:tblW w:w="8803" w:type="dxa"/>
        <w:tblInd w:w="91" w:type="dxa"/>
        <w:tblLayout w:type="fixed"/>
        <w:tblCellMar>
          <w:top w:w="0" w:type="dxa"/>
          <w:left w:w="108" w:type="dxa"/>
          <w:bottom w:w="0" w:type="dxa"/>
          <w:right w:w="108" w:type="dxa"/>
        </w:tblCellMar>
      </w:tblPr>
      <w:tblGrid>
        <w:gridCol w:w="1858"/>
        <w:gridCol w:w="556"/>
        <w:gridCol w:w="923"/>
        <w:gridCol w:w="1923"/>
        <w:gridCol w:w="447"/>
        <w:gridCol w:w="990"/>
        <w:gridCol w:w="1140"/>
        <w:gridCol w:w="966"/>
      </w:tblGrid>
      <w:tr>
        <w:tblPrEx>
          <w:tblLayout w:type="fixed"/>
          <w:tblCellMar>
            <w:top w:w="0" w:type="dxa"/>
            <w:left w:w="108" w:type="dxa"/>
            <w:bottom w:w="0" w:type="dxa"/>
            <w:right w:w="108" w:type="dxa"/>
          </w:tblCellMar>
        </w:tblPrEx>
        <w:trPr>
          <w:trHeight w:val="402" w:hRule="atLeast"/>
          <w:tblHeader/>
        </w:trPr>
        <w:tc>
          <w:tcPr>
            <w:tcW w:w="333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546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2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金额</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9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1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一般公共预算财政拨款</w:t>
            </w:r>
          </w:p>
        </w:tc>
        <w:tc>
          <w:tcPr>
            <w:tcW w:w="96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2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9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1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6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二、政府性基金预算财政拨款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八、社会保障和就业支出</w:t>
            </w:r>
          </w:p>
        </w:tc>
        <w:tc>
          <w:tcPr>
            <w:tcW w:w="4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8.86</w:t>
            </w:r>
            <w:r>
              <w:rPr>
                <w:rFonts w:hint="eastAsia" w:ascii="宋体" w:hAnsi="宋体" w:cs="宋体"/>
                <w:kern w:val="0"/>
                <w:sz w:val="20"/>
                <w:szCs w:val="20"/>
              </w:rPr>
              <w:t>　</w:t>
            </w:r>
          </w:p>
        </w:tc>
        <w:tc>
          <w:tcPr>
            <w:tcW w:w="1140"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8.86</w:t>
            </w:r>
          </w:p>
        </w:tc>
        <w:tc>
          <w:tcPr>
            <w:tcW w:w="966"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23"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九、医疗卫生与计划生育支出</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1394.91</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1394.91</w:t>
            </w:r>
            <w:r>
              <w:rPr>
                <w:rFonts w:hint="eastAsia" w:ascii="宋体" w:hAnsi="宋体" w:cs="宋体"/>
                <w:kern w:val="0"/>
                <w:sz w:val="20"/>
                <w:szCs w:val="20"/>
              </w:rPr>
              <w:t>　</w:t>
            </w:r>
          </w:p>
        </w:tc>
        <w:tc>
          <w:tcPr>
            <w:tcW w:w="9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1923"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年初财政拨款结转和结余</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923"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年末结转和结余</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一般公共预算财政拨款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923"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政府性基金预算财政拨款</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923"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923"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923"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0"/>
                <w:szCs w:val="20"/>
                <w:lang w:val="en-US" w:eastAsia="zh-CN"/>
              </w:rPr>
              <w:t>1403.77</w:t>
            </w:r>
            <w:r>
              <w:rPr>
                <w:rFonts w:hint="eastAsia" w:ascii="宋体" w:hAnsi="宋体" w:cs="宋体"/>
                <w:kern w:val="0"/>
                <w:sz w:val="22"/>
                <w:szCs w:val="22"/>
              </w:rPr>
              <w:t>　</w:t>
            </w:r>
          </w:p>
        </w:tc>
        <w:tc>
          <w:tcPr>
            <w:tcW w:w="1923"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4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28</w:t>
            </w:r>
          </w:p>
        </w:tc>
        <w:tc>
          <w:tcPr>
            <w:tcW w:w="99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114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0"/>
                <w:szCs w:val="20"/>
                <w:lang w:val="en-US" w:eastAsia="zh-CN"/>
              </w:rPr>
              <w:t>1403.77</w:t>
            </w:r>
            <w:r>
              <w:rPr>
                <w:rFonts w:hint="eastAsia" w:ascii="宋体" w:hAnsi="宋体" w:cs="宋体"/>
                <w:kern w:val="0"/>
                <w:sz w:val="20"/>
                <w:szCs w:val="20"/>
              </w:rPr>
              <w:t>　</w:t>
            </w:r>
          </w:p>
        </w:tc>
        <w:tc>
          <w:tcPr>
            <w:tcW w:w="9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注：本表反映部门本年度财政拨款的总收支和年末结转结余情况。有关填表说明：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（4）此表没有发生数据的，在合计栏填“0”，并在该表下方附简要说明。</w:t>
      </w:r>
    </w:p>
    <w:p>
      <w:pPr>
        <w:spacing w:line="360" w:lineRule="auto"/>
        <w:ind w:firstLine="523" w:firstLineChars="187"/>
        <w:rPr>
          <w:rFonts w:hint="eastAsia" w:ascii="仿宋_GB2312" w:eastAsia="仿宋_GB2312"/>
          <w:sz w:val="28"/>
          <w:szCs w:val="28"/>
        </w:rPr>
      </w:pPr>
      <w:r>
        <w:rPr>
          <w:rFonts w:hint="eastAsia" w:ascii="仿宋_GB2312" w:eastAsia="仿宋_GB2312"/>
          <w:sz w:val="28"/>
          <w:szCs w:val="28"/>
        </w:rPr>
        <w:t>（5）该表数据来源于部门决算报表中的《财政拨款收入支出决算总表》（财决01-1表）。</w:t>
      </w:r>
    </w:p>
    <w:p>
      <w:pPr>
        <w:spacing w:line="360" w:lineRule="auto"/>
        <w:ind w:firstLine="523" w:firstLineChars="187"/>
        <w:rPr>
          <w:rFonts w:hint="eastAsia" w:ascii="仿宋_GB2312" w:eastAsia="仿宋_GB2312"/>
          <w:sz w:val="28"/>
          <w:szCs w:val="28"/>
        </w:rPr>
      </w:pPr>
    </w:p>
    <w:p>
      <w:pPr>
        <w:spacing w:line="360" w:lineRule="auto"/>
        <w:ind w:firstLine="523" w:firstLineChars="187"/>
        <w:rPr>
          <w:rFonts w:hint="eastAsia" w:ascii="仿宋_GB2312" w:eastAsia="仿宋_GB2312"/>
          <w:sz w:val="28"/>
          <w:szCs w:val="28"/>
        </w:rPr>
      </w:pPr>
    </w:p>
    <w:p>
      <w:pPr>
        <w:spacing w:line="360" w:lineRule="auto"/>
        <w:ind w:firstLine="523" w:firstLineChars="187"/>
        <w:rPr>
          <w:rFonts w:hint="eastAsia" w:ascii="仿宋_GB2312" w:eastAsia="仿宋_GB2312"/>
          <w:sz w:val="28"/>
          <w:szCs w:val="28"/>
        </w:rPr>
      </w:pPr>
    </w:p>
    <w:p>
      <w:pPr>
        <w:spacing w:line="360" w:lineRule="auto"/>
        <w:ind w:firstLine="523" w:firstLineChars="187"/>
        <w:rPr>
          <w:rFonts w:hint="eastAsia" w:ascii="仿宋_GB2312" w:eastAsia="仿宋_GB2312"/>
          <w:sz w:val="28"/>
          <w:szCs w:val="28"/>
        </w:rPr>
      </w:pPr>
    </w:p>
    <w:p>
      <w:pPr>
        <w:spacing w:line="288" w:lineRule="auto"/>
        <w:ind w:firstLine="0" w:firstLineChars="0"/>
        <w:rPr>
          <w:rFonts w:ascii="仿宋_GB2312" w:eastAsia="仿宋_GB2312"/>
          <w:b/>
          <w:sz w:val="32"/>
          <w:szCs w:val="32"/>
        </w:rPr>
      </w:pPr>
    </w:p>
    <w:tbl>
      <w:tblPr>
        <w:tblStyle w:val="5"/>
        <w:tblW w:w="8946" w:type="dxa"/>
        <w:tblInd w:w="93" w:type="dxa"/>
        <w:tblLayout w:type="fixed"/>
        <w:tblCellMar>
          <w:top w:w="0" w:type="dxa"/>
          <w:left w:w="108" w:type="dxa"/>
          <w:bottom w:w="0" w:type="dxa"/>
          <w:right w:w="108" w:type="dxa"/>
        </w:tblCellMar>
      </w:tblPr>
      <w:tblGrid>
        <w:gridCol w:w="560"/>
        <w:gridCol w:w="560"/>
        <w:gridCol w:w="1872"/>
        <w:gridCol w:w="1985"/>
        <w:gridCol w:w="1984"/>
        <w:gridCol w:w="1985"/>
      </w:tblGrid>
      <w:tr>
        <w:tblPrEx>
          <w:tblLayout w:type="fixed"/>
          <w:tblCellMar>
            <w:top w:w="0" w:type="dxa"/>
            <w:left w:w="108" w:type="dxa"/>
            <w:bottom w:w="0" w:type="dxa"/>
            <w:right w:w="108" w:type="dxa"/>
          </w:tblCellMar>
        </w:tblPrEx>
        <w:trPr>
          <w:trHeight w:val="600" w:hRule="atLeast"/>
        </w:trPr>
        <w:tc>
          <w:tcPr>
            <w:tcW w:w="8946" w:type="dxa"/>
            <w:gridSpan w:val="6"/>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一般公共预算财政拨款支出决算表</w:t>
            </w:r>
          </w:p>
        </w:tc>
      </w:tr>
      <w:tr>
        <w:tblPrEx>
          <w:tblLayout w:type="fixed"/>
          <w:tblCellMar>
            <w:top w:w="0" w:type="dxa"/>
            <w:left w:w="108" w:type="dxa"/>
            <w:bottom w:w="0" w:type="dxa"/>
            <w:right w:w="108" w:type="dxa"/>
          </w:tblCellMar>
        </w:tblPrEx>
        <w:trPr>
          <w:trHeight w:val="222" w:hRule="atLeast"/>
        </w:trPr>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公开05表</w:t>
            </w:r>
          </w:p>
        </w:tc>
      </w:tr>
      <w:tr>
        <w:tblPrEx>
          <w:tblLayout w:type="fixed"/>
          <w:tblCellMar>
            <w:top w:w="0" w:type="dxa"/>
            <w:left w:w="108" w:type="dxa"/>
            <w:bottom w:w="0" w:type="dxa"/>
            <w:right w:w="108" w:type="dxa"/>
          </w:tblCellMar>
        </w:tblPrEx>
        <w:trPr>
          <w:trHeight w:val="300" w:hRule="atLeast"/>
        </w:trPr>
        <w:tc>
          <w:tcPr>
            <w:tcW w:w="1120"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992"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1985"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19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1985"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trPr>
        <w:tc>
          <w:tcPr>
            <w:tcW w:w="1120"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8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6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3</w:t>
            </w: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1403.77</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703.15</w:t>
            </w: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700.63</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201</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一般公共服务支出</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20101</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人大事务</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2010101</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行政运行</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2010102</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一般行政管理事务</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2010199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其他人大事务支出</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208</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社会保障和就业支出</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20805</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行政事业单位离退休</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2080501</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归口管理的行政单位离退休</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2080599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其他行政事业单位离退休</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4"/>
              </w:rPr>
              <w:t>……</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仿宋_GB2312" w:hAnsi="宋体" w:eastAsia="仿宋_GB2312" w:cs="宋体"/>
                <w:kern w:val="0"/>
                <w:sz w:val="24"/>
                <w:lang w:val="en-US" w:eastAsia="zh-CN"/>
              </w:rPr>
              <w:t>2080502</w:t>
            </w:r>
          </w:p>
        </w:tc>
        <w:tc>
          <w:tcPr>
            <w:tcW w:w="187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仿宋_GB2312" w:hAnsi="宋体" w:eastAsia="仿宋_GB2312" w:cs="宋体"/>
                <w:kern w:val="0"/>
                <w:sz w:val="24"/>
                <w:lang w:eastAsia="zh-CN"/>
              </w:rPr>
              <w:t>事业单位离退休</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8.86</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lang w:val="en-US" w:eastAsia="zh-CN"/>
              </w:rPr>
              <w:t>8.86</w:t>
            </w:r>
            <w:r>
              <w:rPr>
                <w:rFonts w:hint="eastAsia" w:ascii="宋体" w:hAnsi="宋体" w:cs="宋体"/>
                <w:kern w:val="0"/>
                <w:sz w:val="24"/>
              </w:rPr>
              <w:t>　</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val="en-US" w:eastAsia="zh-CN"/>
              </w:rPr>
              <w:t>2100302</w:t>
            </w:r>
          </w:p>
        </w:tc>
        <w:tc>
          <w:tcPr>
            <w:tcW w:w="187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eastAsia="zh-CN"/>
              </w:rPr>
              <w:t>乡镇卫生院</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1104.28</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694.28</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410.0</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val="en-US" w:eastAsia="zh-CN"/>
              </w:rPr>
              <w:t>2100399</w:t>
            </w:r>
          </w:p>
        </w:tc>
        <w:tc>
          <w:tcPr>
            <w:tcW w:w="187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eastAsia="zh-CN"/>
              </w:rPr>
              <w:t>其他基层医疗卫生机构支出</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33.0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33.0</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val="en-US" w:eastAsia="zh-CN"/>
              </w:rPr>
              <w:t>2100408</w:t>
            </w:r>
          </w:p>
        </w:tc>
        <w:tc>
          <w:tcPr>
            <w:tcW w:w="187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cs="宋体"/>
                <w:kern w:val="0"/>
                <w:sz w:val="24"/>
              </w:rPr>
            </w:pPr>
            <w:r>
              <w:rPr>
                <w:rFonts w:hint="eastAsia" w:ascii="仿宋_GB2312" w:hAnsi="宋体" w:eastAsia="仿宋_GB2312" w:cs="宋体"/>
                <w:kern w:val="0"/>
                <w:sz w:val="24"/>
                <w:lang w:eastAsia="zh-CN"/>
              </w:rPr>
              <w:t>基本公共卫生服务</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257.63</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257.63</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注：本表反映部门本年度一般公共预算财政拨款实际支出情况。有关填表说明：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（5）该表数据来源于部门决算报表中的《一般公共预算财政拨款收入支出决算表》（财决07表）和《项目收入支出决算表》（财决06表）。</w:t>
      </w:r>
    </w:p>
    <w:p>
      <w:pPr>
        <w:spacing w:line="288" w:lineRule="auto"/>
        <w:ind w:firstLine="643" w:firstLineChars="200"/>
        <w:rPr>
          <w:rFonts w:ascii="仿宋_GB2312" w:eastAsia="仿宋_GB2312"/>
          <w:b/>
          <w:sz w:val="32"/>
          <w:szCs w:val="32"/>
        </w:rPr>
      </w:pPr>
    </w:p>
    <w:p>
      <w:pPr>
        <w:spacing w:line="288" w:lineRule="auto"/>
        <w:ind w:firstLine="0" w:firstLineChars="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一般公共预算财政拨款基本支出决算表</w:t>
      </w:r>
    </w:p>
    <w:p>
      <w:pPr>
        <w:spacing w:line="288" w:lineRule="auto"/>
        <w:ind w:firstLine="0" w:firstLineChars="0"/>
        <w:jc w:val="right"/>
        <w:rPr>
          <w:rFonts w:hint="eastAsia" w:ascii="宋体" w:hAnsi="宋体" w:cs="宋体"/>
          <w:color w:val="000000"/>
          <w:kern w:val="0"/>
          <w:sz w:val="20"/>
          <w:szCs w:val="20"/>
        </w:rPr>
      </w:pPr>
      <w:r>
        <w:rPr>
          <w:rFonts w:hint="eastAsia" w:ascii="宋体" w:hAnsi="宋体" w:cs="宋体"/>
          <w:color w:val="000000"/>
          <w:kern w:val="0"/>
          <w:sz w:val="20"/>
          <w:szCs w:val="20"/>
        </w:rPr>
        <w:t>公开06表</w:t>
      </w:r>
    </w:p>
    <w:p>
      <w:pPr>
        <w:spacing w:line="288" w:lineRule="auto"/>
        <w:ind w:firstLine="0" w:firstLineChars="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2299"/>
        <w:gridCol w:w="997"/>
        <w:gridCol w:w="1240"/>
        <w:gridCol w:w="2323"/>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4537"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人员经费</w:t>
            </w:r>
          </w:p>
        </w:tc>
        <w:tc>
          <w:tcPr>
            <w:tcW w:w="4523"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blHeader/>
        </w:trPr>
        <w:tc>
          <w:tcPr>
            <w:tcW w:w="1241"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29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99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c>
          <w:tcPr>
            <w:tcW w:w="124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32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96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241" w:type="dxa"/>
            <w:vMerge w:val="continue"/>
            <w:vAlign w:val="center"/>
          </w:tcPr>
          <w:p>
            <w:pPr>
              <w:widowControl/>
              <w:jc w:val="left"/>
              <w:rPr>
                <w:rFonts w:ascii="仿宋" w:hAnsi="仿宋" w:eastAsia="仿宋" w:cs="宋体"/>
                <w:color w:val="000000"/>
                <w:kern w:val="0"/>
                <w:sz w:val="24"/>
              </w:rPr>
            </w:pPr>
          </w:p>
        </w:tc>
        <w:tc>
          <w:tcPr>
            <w:tcW w:w="2299" w:type="dxa"/>
            <w:vMerge w:val="continue"/>
            <w:vAlign w:val="center"/>
          </w:tcPr>
          <w:p>
            <w:pPr>
              <w:widowControl/>
              <w:jc w:val="left"/>
              <w:rPr>
                <w:rFonts w:ascii="仿宋" w:hAnsi="仿宋" w:eastAsia="仿宋" w:cs="宋体"/>
                <w:color w:val="000000"/>
                <w:kern w:val="0"/>
                <w:sz w:val="24"/>
              </w:rPr>
            </w:pPr>
          </w:p>
        </w:tc>
        <w:tc>
          <w:tcPr>
            <w:tcW w:w="997" w:type="dxa"/>
            <w:vMerge w:val="continue"/>
            <w:vAlign w:val="center"/>
          </w:tcPr>
          <w:p>
            <w:pPr>
              <w:widowControl/>
              <w:jc w:val="left"/>
              <w:rPr>
                <w:rFonts w:ascii="仿宋" w:hAnsi="仿宋" w:eastAsia="仿宋" w:cs="宋体"/>
                <w:color w:val="000000"/>
                <w:kern w:val="0"/>
                <w:sz w:val="24"/>
              </w:rPr>
            </w:pPr>
          </w:p>
        </w:tc>
        <w:tc>
          <w:tcPr>
            <w:tcW w:w="1240" w:type="dxa"/>
            <w:vMerge w:val="continue"/>
            <w:vAlign w:val="center"/>
          </w:tcPr>
          <w:p>
            <w:pPr>
              <w:widowControl/>
              <w:jc w:val="left"/>
              <w:rPr>
                <w:rFonts w:ascii="仿宋" w:hAnsi="仿宋" w:eastAsia="仿宋" w:cs="宋体"/>
                <w:color w:val="000000"/>
                <w:kern w:val="0"/>
                <w:sz w:val="24"/>
              </w:rPr>
            </w:pPr>
          </w:p>
        </w:tc>
        <w:tc>
          <w:tcPr>
            <w:tcW w:w="2323" w:type="dxa"/>
            <w:vMerge w:val="continue"/>
            <w:vAlign w:val="center"/>
          </w:tcPr>
          <w:p>
            <w:pPr>
              <w:widowControl/>
              <w:jc w:val="left"/>
              <w:rPr>
                <w:rFonts w:ascii="仿宋" w:hAnsi="仿宋" w:eastAsia="仿宋" w:cs="宋体"/>
                <w:color w:val="000000"/>
                <w:kern w:val="0"/>
                <w:sz w:val="24"/>
              </w:rPr>
            </w:pPr>
          </w:p>
        </w:tc>
        <w:tc>
          <w:tcPr>
            <w:tcW w:w="960" w:type="dxa"/>
            <w:vMerge w:val="continue"/>
            <w:vAlign w:val="center"/>
          </w:tcPr>
          <w:p>
            <w:pPr>
              <w:widowControl/>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工资福利支出</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412.93</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w:t>
            </w:r>
          </w:p>
        </w:tc>
        <w:tc>
          <w:tcPr>
            <w:tcW w:w="232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商品和服务支出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118.66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30101</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基本工资</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138.04</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9.81</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30102</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津贴补贴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121.83</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30202</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印刷费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9.5</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30103</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奖金</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30.00</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30203</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咨询费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30104</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其他社会保障缴费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52.38</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30204</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手续费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30106</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伙食补助费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30205</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水费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0.76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30107</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绩效工资</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70.68</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30206</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电费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7.63</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30108</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机关事业单位基本养老保险缴费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30207</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邮电费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3.25</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30109</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职业年金缴费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30208</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取暖费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30199</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其他工资福利支出</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物业管理费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对个人和家庭的补助</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30.96</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差旅费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1.06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30301</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离休费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30212</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因公出国（境）费用</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30302</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退休费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18.76</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30213</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维修(护)费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59.01</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30303</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退职（役）费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30214</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租赁费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30304</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抚恤金</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30215</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会议费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30305</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生活补助</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12.20</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30216</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培训费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30306</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救济费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30217</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公务接待费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0.33</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30307</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医疗费</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30218</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专用材料费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23.14</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30308</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助学金</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30224</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被装购置费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30309</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奖励金</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30225</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专用燃料费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3.06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30310</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生产补贴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30226</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劳务费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30311</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住房公积金</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30227</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委托业务费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30312</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提租补贴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30228</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工会经费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30313</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购房补贴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福利费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30314</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采暖补贴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公务用车运行维护费</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1.11</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30315</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物业服务补贴</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其他交通费用</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30399</w:t>
            </w:r>
          </w:p>
        </w:tc>
        <w:tc>
          <w:tcPr>
            <w:tcW w:w="2299"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其他对个人和家庭的补助支出</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30240</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税金及附加费用</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30299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其他商品和服务支出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w:t>
            </w:r>
          </w:p>
        </w:tc>
        <w:tc>
          <w:tcPr>
            <w:tcW w:w="232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其他资本性支出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140.6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房屋建筑物购建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31002</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办公设备购置</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31003</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专用设备购置</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140.6</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31005</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基础设施建设</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31006</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大型修缮</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31007</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信息网络及软件购置更新</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31008</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物资储备</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土地补偿</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31010</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安置补助</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地上附着物和青苗补偿</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31012</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拆迁补偿</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31013</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公务用车购置</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其他交通工具购置</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31020</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产权参股</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31099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其他资本性支出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w:t>
            </w:r>
          </w:p>
        </w:tc>
        <w:tc>
          <w:tcPr>
            <w:tcW w:w="232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对企事业单位的补贴</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企业政策性补贴</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30402</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事业单位补贴</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30403</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财政贴息</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30499</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其他对企事业单位的补贴</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w:t>
            </w:r>
          </w:p>
        </w:tc>
        <w:tc>
          <w:tcPr>
            <w:tcW w:w="232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债务利息支出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30701</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国内债务付息</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30707</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国外债务付息</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w:t>
            </w:r>
          </w:p>
        </w:tc>
        <w:tc>
          <w:tcPr>
            <w:tcW w:w="232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其他支出</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99"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997"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39906</w:t>
            </w:r>
          </w:p>
        </w:tc>
        <w:tc>
          <w:tcPr>
            <w:tcW w:w="232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赠与</w:t>
            </w:r>
          </w:p>
        </w:tc>
        <w:tc>
          <w:tcPr>
            <w:tcW w:w="960"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540" w:type="dxa"/>
            <w:gridSpan w:val="2"/>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人员经费合计</w:t>
            </w:r>
          </w:p>
        </w:tc>
        <w:tc>
          <w:tcPr>
            <w:tcW w:w="997" w:type="dxa"/>
            <w:vAlign w:val="center"/>
          </w:tcPr>
          <w:p>
            <w:pPr>
              <w:widowControl/>
              <w:jc w:val="right"/>
              <w:rPr>
                <w:rFonts w:ascii="宋体" w:hAnsi="宋体" w:eastAsia="宋体" w:cs="Arial"/>
                <w:color w:val="000000"/>
                <w:kern w:val="0"/>
                <w:sz w:val="24"/>
              </w:rPr>
            </w:pPr>
            <w:r>
              <w:rPr>
                <w:rFonts w:hint="eastAsia" w:ascii="宋体" w:hAnsi="宋体" w:cs="Arial"/>
                <w:color w:val="000000"/>
                <w:kern w:val="0"/>
                <w:sz w:val="24"/>
                <w:lang w:val="en-US" w:eastAsia="zh-CN"/>
              </w:rPr>
              <w:t>443.89</w:t>
            </w:r>
            <w:r>
              <w:rPr>
                <w:rFonts w:hint="eastAsia" w:ascii="宋体" w:hAnsi="宋体" w:eastAsia="宋体" w:cs="Arial"/>
                <w:color w:val="000000"/>
                <w:kern w:val="0"/>
                <w:sz w:val="24"/>
              </w:rPr>
              <w:t>　</w:t>
            </w:r>
          </w:p>
        </w:tc>
        <w:tc>
          <w:tcPr>
            <w:tcW w:w="3563" w:type="dxa"/>
            <w:gridSpan w:val="2"/>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公用经费合计</w:t>
            </w:r>
          </w:p>
        </w:tc>
        <w:tc>
          <w:tcPr>
            <w:tcW w:w="960" w:type="dxa"/>
            <w:vAlign w:val="center"/>
          </w:tcPr>
          <w:p>
            <w:pPr>
              <w:widowControl/>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259.26</w:t>
            </w:r>
          </w:p>
        </w:tc>
      </w:tr>
    </w:tbl>
    <w:p>
      <w:pPr>
        <w:snapToGrid w:val="0"/>
        <w:spacing w:beforeLines="0" w:afterLines="0" w:line="336" w:lineRule="auto"/>
        <w:rPr>
          <w:rFonts w:ascii="仿宋_GB2312" w:eastAsia="仿宋_GB2312"/>
          <w:sz w:val="28"/>
          <w:szCs w:val="28"/>
        </w:rPr>
      </w:pPr>
      <w:r>
        <w:rPr>
          <w:rFonts w:hint="eastAsia" w:ascii="仿宋_GB2312" w:eastAsia="仿宋_GB2312"/>
          <w:sz w:val="28"/>
          <w:szCs w:val="28"/>
        </w:rPr>
        <w:t>注：本表反映部门本年度一般公共预算财政拨款基本支出明细情况。有关填表说明：</w:t>
      </w:r>
    </w:p>
    <w:p>
      <w:pPr>
        <w:snapToGrid w:val="0"/>
        <w:spacing w:beforeLines="0" w:afterLines="0" w:line="336" w:lineRule="auto"/>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napToGrid w:val="0"/>
        <w:spacing w:beforeLines="0" w:afterLines="0" w:line="336" w:lineRule="auto"/>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本表经济分类科目填列到款级支出科目，没有发生数的支出科目不用填列。</w:t>
      </w:r>
    </w:p>
    <w:p>
      <w:pPr>
        <w:snapToGrid w:val="0"/>
        <w:spacing w:beforeLines="0" w:afterLines="0" w:line="336" w:lineRule="auto"/>
        <w:ind w:firstLine="523" w:firstLineChars="187"/>
        <w:rPr>
          <w:rFonts w:ascii="仿宋_GB2312" w:eastAsia="仿宋_GB2312"/>
          <w:sz w:val="28"/>
          <w:szCs w:val="28"/>
        </w:rPr>
      </w:pPr>
      <w:r>
        <w:rPr>
          <w:rFonts w:hint="eastAsia" w:ascii="仿宋_GB2312" w:hAnsi="宋体" w:eastAsia="仿宋_GB2312"/>
          <w:sz w:val="28"/>
          <w:szCs w:val="28"/>
        </w:rPr>
        <w:t>（3）</w:t>
      </w:r>
      <w:r>
        <w:rPr>
          <w:rFonts w:hint="eastAsia" w:ascii="仿宋_GB2312" w:eastAsia="仿宋_GB2312"/>
          <w:sz w:val="28"/>
          <w:szCs w:val="28"/>
        </w:rPr>
        <w:t>此表没有发生数据的，在合计行填“0”，并在该表下方附简要说明。</w:t>
      </w:r>
    </w:p>
    <w:p>
      <w:pPr>
        <w:snapToGrid w:val="0"/>
        <w:spacing w:beforeLines="0" w:afterLines="0" w:line="336" w:lineRule="auto"/>
        <w:ind w:firstLine="560" w:firstLineChars="200"/>
        <w:rPr>
          <w:rFonts w:ascii="仿宋_GB2312" w:eastAsia="仿宋_GB2312"/>
          <w:sz w:val="28"/>
          <w:szCs w:val="28"/>
        </w:rPr>
      </w:pPr>
      <w:r>
        <w:rPr>
          <w:rFonts w:hint="eastAsia" w:ascii="仿宋_GB2312" w:eastAsia="仿宋_GB2312"/>
          <w:sz w:val="28"/>
          <w:szCs w:val="28"/>
        </w:rPr>
        <w:t>（4）该表数据来源于部门决算报表中的《一般公共预算财政拨款基本支出决算明细表》（财决08-1表）。</w:t>
      </w: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p>
      <w:pPr>
        <w:spacing w:line="288" w:lineRule="auto"/>
        <w:ind w:firstLine="0" w:firstLineChars="0"/>
        <w:rPr>
          <w:rFonts w:ascii="仿宋_GB2312" w:eastAsia="仿宋_GB2312"/>
          <w:b/>
          <w:sz w:val="32"/>
          <w:szCs w:val="32"/>
        </w:rPr>
      </w:pPr>
    </w:p>
    <w:tbl>
      <w:tblPr>
        <w:tblStyle w:val="5"/>
        <w:tblW w:w="9215" w:type="dxa"/>
        <w:tblInd w:w="-176" w:type="dxa"/>
        <w:tblLayout w:type="fixed"/>
        <w:tblCellMar>
          <w:top w:w="0" w:type="dxa"/>
          <w:left w:w="108" w:type="dxa"/>
          <w:bottom w:w="0" w:type="dxa"/>
          <w:right w:w="108" w:type="dxa"/>
        </w:tblCellMar>
      </w:tblPr>
      <w:tblGrid>
        <w:gridCol w:w="269"/>
        <w:gridCol w:w="532"/>
        <w:gridCol w:w="151"/>
        <w:gridCol w:w="373"/>
        <w:gridCol w:w="353"/>
        <w:gridCol w:w="605"/>
        <w:gridCol w:w="709"/>
        <w:gridCol w:w="127"/>
        <w:gridCol w:w="704"/>
        <w:gridCol w:w="289"/>
        <w:gridCol w:w="515"/>
        <w:gridCol w:w="529"/>
        <w:gridCol w:w="180"/>
        <w:gridCol w:w="735"/>
        <w:gridCol w:w="52"/>
        <w:gridCol w:w="677"/>
        <w:gridCol w:w="155"/>
        <w:gridCol w:w="663"/>
        <w:gridCol w:w="305"/>
        <w:gridCol w:w="436"/>
        <w:gridCol w:w="698"/>
        <w:gridCol w:w="158"/>
      </w:tblGrid>
      <w:tr>
        <w:tblPrEx>
          <w:tblLayout w:type="fixed"/>
          <w:tblCellMar>
            <w:top w:w="0" w:type="dxa"/>
            <w:left w:w="108" w:type="dxa"/>
            <w:bottom w:w="0" w:type="dxa"/>
            <w:right w:w="108" w:type="dxa"/>
          </w:tblCellMar>
        </w:tblPrEx>
        <w:trPr>
          <w:trHeight w:val="600" w:hRule="atLeast"/>
        </w:trPr>
        <w:tc>
          <w:tcPr>
            <w:tcW w:w="9215" w:type="dxa"/>
            <w:gridSpan w:val="22"/>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lang w:eastAsia="zh-CN"/>
              </w:rPr>
              <w:t>一般公共预算</w:t>
            </w:r>
            <w:r>
              <w:rPr>
                <w:rFonts w:hint="eastAsia" w:ascii="华文中宋" w:hAnsi="华文中宋" w:eastAsia="华文中宋" w:cs="宋体"/>
                <w:kern w:val="0"/>
                <w:sz w:val="32"/>
                <w:szCs w:val="32"/>
              </w:rPr>
              <w:t>财政拨款“三公”经费支出决算表</w:t>
            </w:r>
          </w:p>
        </w:tc>
      </w:tr>
      <w:tr>
        <w:tblPrEx>
          <w:tblLayout w:type="fixed"/>
          <w:tblCellMar>
            <w:top w:w="0" w:type="dxa"/>
            <w:left w:w="108" w:type="dxa"/>
            <w:bottom w:w="0" w:type="dxa"/>
            <w:right w:w="108" w:type="dxa"/>
          </w:tblCellMar>
        </w:tblPrEx>
        <w:trPr>
          <w:gridBefore w:val="1"/>
          <w:gridAfter w:val="1"/>
          <w:wBefore w:w="269" w:type="dxa"/>
          <w:wAfter w:w="158" w:type="dxa"/>
          <w:trHeight w:val="222" w:hRule="atLeast"/>
        </w:trPr>
        <w:tc>
          <w:tcPr>
            <w:tcW w:w="683" w:type="dxa"/>
            <w:gridSpan w:val="2"/>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3"/>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公开07表</w:t>
            </w:r>
          </w:p>
        </w:tc>
      </w:tr>
      <w:tr>
        <w:tblPrEx>
          <w:tblLayout w:type="fixed"/>
          <w:tblCellMar>
            <w:top w:w="0" w:type="dxa"/>
            <w:left w:w="108" w:type="dxa"/>
            <w:bottom w:w="0" w:type="dxa"/>
            <w:right w:w="108" w:type="dxa"/>
          </w:tblCellMar>
        </w:tblPrEx>
        <w:trPr>
          <w:gridBefore w:val="1"/>
          <w:gridAfter w:val="1"/>
          <w:wBefore w:w="269" w:type="dxa"/>
          <w:wAfter w:w="158" w:type="dxa"/>
          <w:trHeight w:val="300" w:hRule="atLeast"/>
        </w:trPr>
        <w:tc>
          <w:tcPr>
            <w:tcW w:w="1056" w:type="dxa"/>
            <w:gridSpan w:val="3"/>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3"/>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559" w:hRule="atLeast"/>
        </w:trPr>
        <w:tc>
          <w:tcPr>
            <w:tcW w:w="4627" w:type="dxa"/>
            <w:gridSpan w:val="11"/>
            <w:tcBorders>
              <w:top w:val="single" w:color="auto" w:sz="8"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年度预算数</w:t>
            </w:r>
          </w:p>
        </w:tc>
        <w:tc>
          <w:tcPr>
            <w:tcW w:w="4588" w:type="dxa"/>
            <w:gridSpan w:val="11"/>
            <w:tcBorders>
              <w:top w:val="single" w:color="auto" w:sz="8" w:space="0"/>
              <w:left w:val="nil"/>
              <w:bottom w:val="single" w:color="auto" w:sz="4" w:space="0"/>
              <w:right w:val="single" w:color="000000"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年度决算数</w:t>
            </w:r>
          </w:p>
        </w:tc>
      </w:tr>
      <w:tr>
        <w:tblPrEx>
          <w:tblLayout w:type="fixed"/>
          <w:tblCellMar>
            <w:top w:w="0" w:type="dxa"/>
            <w:left w:w="108" w:type="dxa"/>
            <w:bottom w:w="0" w:type="dxa"/>
            <w:right w:w="108" w:type="dxa"/>
          </w:tblCellMar>
        </w:tblPrEx>
        <w:trPr>
          <w:trHeight w:val="600" w:hRule="atLeast"/>
        </w:trPr>
        <w:tc>
          <w:tcPr>
            <w:tcW w:w="801" w:type="dxa"/>
            <w:gridSpan w:val="2"/>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877"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14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0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c>
          <w:tcPr>
            <w:tcW w:w="709" w:type="dxa"/>
            <w:gridSpan w:val="2"/>
            <w:vMerge w:val="restart"/>
            <w:tcBorders>
              <w:top w:val="nil"/>
              <w:left w:val="nil"/>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73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288"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56" w:type="dxa"/>
            <w:gridSpan w:val="2"/>
            <w:vMerge w:val="restart"/>
            <w:tcBorders>
              <w:top w:val="nil"/>
              <w:left w:val="single" w:color="auto" w:sz="4" w:space="0"/>
              <w:bottom w:val="single" w:color="000000"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r>
      <w:tr>
        <w:tblPrEx>
          <w:tblLayout w:type="fixed"/>
          <w:tblCellMar>
            <w:top w:w="0" w:type="dxa"/>
            <w:left w:w="108" w:type="dxa"/>
            <w:bottom w:w="0" w:type="dxa"/>
            <w:right w:w="108" w:type="dxa"/>
          </w:tblCellMar>
        </w:tblPrEx>
        <w:trPr>
          <w:trHeight w:val="600" w:hRule="atLeast"/>
        </w:trPr>
        <w:tc>
          <w:tcPr>
            <w:tcW w:w="801" w:type="dxa"/>
            <w:gridSpan w:val="2"/>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87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0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709" w:type="dxa"/>
            <w:gridSpan w:val="2"/>
            <w:vMerge w:val="continue"/>
            <w:tcBorders>
              <w:top w:val="nil"/>
              <w:left w:val="nil"/>
              <w:bottom w:val="single" w:color="000000" w:sz="4" w:space="0"/>
              <w:right w:val="single" w:color="auto" w:sz="4" w:space="0"/>
            </w:tcBorders>
            <w:vAlign w:val="center"/>
          </w:tcPr>
          <w:p>
            <w:pPr>
              <w:widowControl/>
              <w:jc w:val="left"/>
              <w:rPr>
                <w:rFonts w:ascii="宋体" w:hAnsi="宋体" w:cs="宋体"/>
                <w:kern w:val="0"/>
                <w:sz w:val="22"/>
                <w:szCs w:val="22"/>
              </w:rPr>
            </w:pPr>
          </w:p>
        </w:tc>
        <w:tc>
          <w:tcPr>
            <w:tcW w:w="7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729"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5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559" w:hRule="atLeast"/>
        </w:trPr>
        <w:tc>
          <w:tcPr>
            <w:tcW w:w="801" w:type="dxa"/>
            <w:gridSpan w:val="2"/>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877" w:type="dxa"/>
            <w:gridSpan w:val="3"/>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80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709"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73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729"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856" w:type="dxa"/>
            <w:gridSpan w:val="2"/>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r>
      <w:tr>
        <w:tblPrEx>
          <w:tblLayout w:type="fixed"/>
          <w:tblCellMar>
            <w:top w:w="0" w:type="dxa"/>
            <w:left w:w="108" w:type="dxa"/>
            <w:bottom w:w="0" w:type="dxa"/>
            <w:right w:w="108" w:type="dxa"/>
          </w:tblCellMar>
        </w:tblPrEx>
        <w:trPr>
          <w:trHeight w:val="855" w:hRule="atLeast"/>
        </w:trPr>
        <w:tc>
          <w:tcPr>
            <w:tcW w:w="801" w:type="dxa"/>
            <w:gridSpan w:val="2"/>
            <w:tcBorders>
              <w:top w:val="nil"/>
              <w:left w:val="single" w:color="auto" w:sz="8" w:space="0"/>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1.44</w:t>
            </w:r>
          </w:p>
        </w:tc>
        <w:tc>
          <w:tcPr>
            <w:tcW w:w="877" w:type="dxa"/>
            <w:gridSpan w:val="3"/>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05"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1.11</w:t>
            </w:r>
          </w:p>
        </w:tc>
        <w:tc>
          <w:tcPr>
            <w:tcW w:w="709"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31"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1.11</w:t>
            </w:r>
          </w:p>
        </w:tc>
        <w:tc>
          <w:tcPr>
            <w:tcW w:w="804"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0.33</w:t>
            </w:r>
          </w:p>
        </w:tc>
        <w:tc>
          <w:tcPr>
            <w:tcW w:w="709"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lang w:val="en-US" w:eastAsia="zh-CN"/>
              </w:rPr>
              <w:t>1.44</w:t>
            </w:r>
            <w:r>
              <w:rPr>
                <w:rFonts w:hint="eastAsia" w:ascii="宋体" w:hAnsi="宋体" w:cs="宋体"/>
                <w:kern w:val="0"/>
                <w:sz w:val="22"/>
                <w:szCs w:val="22"/>
              </w:rPr>
              <w:t>　</w:t>
            </w:r>
          </w:p>
        </w:tc>
        <w:tc>
          <w:tcPr>
            <w:tcW w:w="735"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29"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1.11</w:t>
            </w:r>
          </w:p>
        </w:tc>
        <w:tc>
          <w:tcPr>
            <w:tcW w:w="818"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41" w:type="dxa"/>
            <w:gridSpan w:val="2"/>
            <w:tcBorders>
              <w:top w:val="nil"/>
              <w:left w:val="nil"/>
              <w:bottom w:val="single" w:color="auto" w:sz="8" w:space="0"/>
              <w:right w:val="nil"/>
            </w:tcBorders>
            <w:vAlign w:val="center"/>
          </w:tcPr>
          <w:p>
            <w:pPr>
              <w:widowControl/>
              <w:jc w:val="left"/>
              <w:rPr>
                <w:rFonts w:ascii="宋体" w:hAnsi="宋体" w:cs="宋体"/>
                <w:kern w:val="0"/>
                <w:sz w:val="22"/>
                <w:szCs w:val="22"/>
              </w:rPr>
            </w:pPr>
            <w:r>
              <w:rPr>
                <w:rFonts w:hint="eastAsia" w:ascii="宋体" w:hAnsi="宋体" w:cs="宋体"/>
                <w:kern w:val="0"/>
                <w:sz w:val="22"/>
                <w:szCs w:val="22"/>
                <w:lang w:val="en-US" w:eastAsia="zh-CN"/>
              </w:rPr>
              <w:t>1.11</w:t>
            </w:r>
            <w:r>
              <w:rPr>
                <w:rFonts w:hint="eastAsia" w:ascii="宋体" w:hAnsi="宋体" w:cs="宋体"/>
                <w:kern w:val="0"/>
                <w:sz w:val="22"/>
                <w:szCs w:val="22"/>
              </w:rPr>
              <w:t>　</w:t>
            </w:r>
          </w:p>
        </w:tc>
        <w:tc>
          <w:tcPr>
            <w:tcW w:w="856" w:type="dxa"/>
            <w:gridSpan w:val="2"/>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lang w:val="en-US" w:eastAsia="zh-CN"/>
              </w:rPr>
              <w:t>0.33</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注：本表反映部门本年度财政拨款“三公”经费支出情况。有关填表说明：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（1）本表数据填列数据以“万元”为金额单位，保留两位小数。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lang w:eastAsia="zh-CN"/>
        </w:rPr>
        <w:t>xx</w:t>
      </w:r>
      <w:r>
        <w:rPr>
          <w:rFonts w:hint="eastAsia" w:ascii="仿宋_GB2312" w:eastAsia="仿宋_GB2312"/>
          <w:sz w:val="28"/>
          <w:szCs w:val="28"/>
        </w:rPr>
        <w:t>年预算数为“三公”年初预算数，决算数包括当年财政拨款预算和以前年度结转资金安排的实际支出。</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（3）1栏=（2+3+6）栏，3栏=（4+5）栏。7栏=（8+9+12）栏。9栏=（10+11）栏。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（4）“三公”数据合计为零的，在合计栏填列“0”，并在决算情况说明中予以说明。</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tbl>
      <w:tblPr>
        <w:tblStyle w:val="5"/>
        <w:tblW w:w="8788" w:type="dxa"/>
        <w:tblInd w:w="93" w:type="dxa"/>
        <w:tblLayout w:type="fixed"/>
        <w:tblCellMar>
          <w:top w:w="0" w:type="dxa"/>
          <w:left w:w="108" w:type="dxa"/>
          <w:bottom w:w="0" w:type="dxa"/>
          <w:right w:w="108" w:type="dxa"/>
        </w:tblCellMar>
      </w:tblPr>
      <w:tblGrid>
        <w:gridCol w:w="683"/>
        <w:gridCol w:w="373"/>
        <w:gridCol w:w="1794"/>
        <w:gridCol w:w="993"/>
        <w:gridCol w:w="1044"/>
        <w:gridCol w:w="967"/>
        <w:gridCol w:w="832"/>
        <w:gridCol w:w="968"/>
        <w:gridCol w:w="1134"/>
      </w:tblGrid>
      <w:tr>
        <w:tblPrEx>
          <w:tblLayout w:type="fixed"/>
          <w:tblCellMar>
            <w:top w:w="0" w:type="dxa"/>
            <w:left w:w="108" w:type="dxa"/>
            <w:bottom w:w="0" w:type="dxa"/>
            <w:right w:w="108" w:type="dxa"/>
          </w:tblCellMar>
        </w:tblPrEx>
        <w:trPr>
          <w:trHeight w:val="600" w:hRule="atLeast"/>
        </w:trPr>
        <w:tc>
          <w:tcPr>
            <w:tcW w:w="8788" w:type="dxa"/>
            <w:gridSpan w:val="9"/>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222" w:hRule="atLeast"/>
        </w:trPr>
        <w:tc>
          <w:tcPr>
            <w:tcW w:w="68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公开08表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850"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993"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年初结转和结余</w:t>
            </w:r>
          </w:p>
        </w:tc>
        <w:tc>
          <w:tcPr>
            <w:tcW w:w="104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本年收入</w:t>
            </w:r>
          </w:p>
        </w:tc>
        <w:tc>
          <w:tcPr>
            <w:tcW w:w="2767" w:type="dxa"/>
            <w:gridSpan w:val="3"/>
            <w:tcBorders>
              <w:top w:val="single" w:color="auto" w:sz="8" w:space="0"/>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w:t>
            </w:r>
          </w:p>
        </w:tc>
        <w:tc>
          <w:tcPr>
            <w:tcW w:w="11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trPr>
        <w:tc>
          <w:tcPr>
            <w:tcW w:w="1056"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79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小计</w:t>
            </w:r>
          </w:p>
        </w:tc>
        <w:tc>
          <w:tcPr>
            <w:tcW w:w="832"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968"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6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850"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2850" w:type="dxa"/>
            <w:gridSpan w:val="3"/>
            <w:tcBorders>
              <w:top w:val="nil"/>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0</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0</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城乡社区支出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城市公用事业附加及对应专项债务收入安排的支出</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2120901</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城市公共设施</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w:t>
            </w:r>
          </w:p>
        </w:tc>
        <w:tc>
          <w:tcPr>
            <w:tcW w:w="179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vAlign w:val="center"/>
          </w:tcPr>
          <w:p>
            <w:pPr>
              <w:widowControl/>
              <w:rPr>
                <w:rFonts w:ascii="宋体" w:hAnsi="宋体" w:cs="宋体"/>
                <w:kern w:val="0"/>
                <w:sz w:val="24"/>
              </w:rPr>
            </w:pPr>
          </w:p>
        </w:tc>
        <w:tc>
          <w:tcPr>
            <w:tcW w:w="179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p>
        </w:tc>
        <w:tc>
          <w:tcPr>
            <w:tcW w:w="993"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8"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注：本表反映部门本年度政府性基金预算财政拨款收支情况。有关填表说明：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（3）（1+2-3）栏=6栏，3栏=（4+5）栏。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（5）该表数据来源于部门决算报表中的《政府性基金预算财政拨款收入支出决算表》（财决09表）和《项目收入支出决算表》（财决06表）。</w:t>
      </w:r>
    </w:p>
    <w:p>
      <w:pPr>
        <w:spacing w:line="288" w:lineRule="auto"/>
        <w:ind w:firstLine="643" w:firstLineChars="200"/>
        <w:rPr>
          <w:rFonts w:ascii="仿宋_GB2312" w:eastAsia="仿宋_GB2312"/>
          <w:b/>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第三部分   </w:t>
      </w:r>
      <w:r>
        <w:rPr>
          <w:rFonts w:hint="eastAsia" w:ascii="宋体" w:hAnsi="宋体"/>
          <w:b/>
          <w:sz w:val="36"/>
          <w:szCs w:val="36"/>
          <w:lang w:eastAsia="zh-CN"/>
        </w:rPr>
        <w:t>罗定市太平镇卫生院</w:t>
      </w:r>
      <w:r>
        <w:rPr>
          <w:rFonts w:hint="eastAsia" w:ascii="宋体" w:hAnsi="宋体"/>
          <w:b/>
          <w:sz w:val="36"/>
          <w:szCs w:val="36"/>
          <w:lang w:val="en-US" w:eastAsia="zh-CN"/>
        </w:rPr>
        <w:t>2016</w:t>
      </w:r>
      <w:r>
        <w:rPr>
          <w:rFonts w:hint="eastAsia" w:ascii="宋体" w:hAnsi="宋体" w:eastAsia="宋体"/>
          <w:b/>
          <w:sz w:val="36"/>
          <w:szCs w:val="36"/>
        </w:rPr>
        <w:t>年部门决算情况说明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年度收入支出决算总体情况说明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罗定市太平镇卫生院</w:t>
      </w:r>
      <w:r>
        <w:rPr>
          <w:rFonts w:hint="eastAsia" w:ascii="仿宋_GB2312" w:eastAsia="仿宋_GB2312"/>
          <w:sz w:val="32"/>
          <w:szCs w:val="32"/>
          <w:lang w:val="en-US" w:eastAsia="zh-CN"/>
        </w:rPr>
        <w:t>2016</w:t>
      </w:r>
      <w:r>
        <w:rPr>
          <w:rFonts w:hint="eastAsia" w:ascii="仿宋_GB2312" w:eastAsia="仿宋_GB2312"/>
          <w:sz w:val="32"/>
          <w:szCs w:val="32"/>
        </w:rPr>
        <w:t>年度总收入</w:t>
      </w:r>
      <w:r>
        <w:rPr>
          <w:rFonts w:hint="eastAsia" w:ascii="仿宋_GB2312" w:eastAsia="仿宋_GB2312"/>
          <w:sz w:val="32"/>
          <w:szCs w:val="32"/>
          <w:lang w:val="en-US" w:eastAsia="zh-CN"/>
        </w:rPr>
        <w:t>2231.83</w:t>
      </w:r>
      <w:r>
        <w:rPr>
          <w:rFonts w:hint="eastAsia" w:ascii="仿宋_GB2312" w:eastAsia="仿宋_GB2312"/>
          <w:sz w:val="32"/>
          <w:szCs w:val="32"/>
        </w:rPr>
        <w:t>万元，具体情况如下：</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1．财政拨款收入</w:t>
      </w:r>
      <w:r>
        <w:rPr>
          <w:rFonts w:hint="eastAsia" w:ascii="仿宋_GB2312" w:eastAsia="仿宋_GB2312"/>
          <w:sz w:val="32"/>
          <w:szCs w:val="32"/>
          <w:lang w:val="en-US" w:eastAsia="zh-CN"/>
        </w:rPr>
        <w:t>1403.77</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116.78</w:t>
      </w:r>
      <w:r>
        <w:rPr>
          <w:rFonts w:hint="eastAsia" w:ascii="仿宋_GB2312" w:eastAsia="仿宋_GB2312"/>
          <w:sz w:val="32"/>
          <w:szCs w:val="32"/>
        </w:rPr>
        <w:t>万元，增长</w:t>
      </w:r>
      <w:r>
        <w:rPr>
          <w:rFonts w:hint="eastAsia" w:ascii="仿宋_GB2312" w:eastAsia="仿宋_GB2312"/>
          <w:sz w:val="32"/>
          <w:szCs w:val="32"/>
          <w:lang w:val="en-US" w:eastAsia="zh-CN"/>
        </w:rPr>
        <w:t>9</w:t>
      </w:r>
      <w:r>
        <w:rPr>
          <w:rFonts w:hint="eastAsia" w:ascii="仿宋_GB2312" w:eastAsia="仿宋_GB2312"/>
          <w:sz w:val="32"/>
          <w:szCs w:val="32"/>
        </w:rPr>
        <w:t xml:space="preserve"> %。主要原因：</w:t>
      </w:r>
      <w:r>
        <w:rPr>
          <w:rFonts w:hint="eastAsia" w:ascii="仿宋_GB2312" w:eastAsia="仿宋_GB2312"/>
          <w:sz w:val="32"/>
          <w:szCs w:val="32"/>
          <w:lang w:eastAsia="zh-CN"/>
        </w:rPr>
        <w:t>山区岗位补贴和基本公共卫生服务经费增加。</w:t>
      </w:r>
    </w:p>
    <w:p>
      <w:pPr>
        <w:spacing w:line="288" w:lineRule="auto"/>
        <w:ind w:left="160" w:leftChars="76" w:firstLine="480" w:firstLineChars="150"/>
        <w:rPr>
          <w:rFonts w:ascii="仿宋_GB2312" w:eastAsia="仿宋_GB2312"/>
          <w:sz w:val="32"/>
          <w:szCs w:val="32"/>
        </w:rPr>
      </w:pPr>
      <w:r>
        <w:rPr>
          <w:rFonts w:hint="eastAsia" w:ascii="仿宋_GB2312" w:eastAsia="仿宋_GB2312"/>
          <w:sz w:val="32"/>
          <w:szCs w:val="32"/>
        </w:rPr>
        <w:t>2．上级补助收入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3．事业收入</w:t>
      </w:r>
      <w:r>
        <w:rPr>
          <w:rFonts w:hint="eastAsia" w:ascii="仿宋_GB2312" w:eastAsia="仿宋_GB2312"/>
          <w:sz w:val="32"/>
          <w:szCs w:val="32"/>
          <w:lang w:val="en-US" w:eastAsia="zh-CN"/>
        </w:rPr>
        <w:t>828.05</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222.53</w:t>
      </w:r>
      <w:r>
        <w:rPr>
          <w:rFonts w:hint="eastAsia" w:ascii="仿宋_GB2312" w:eastAsia="仿宋_GB2312"/>
          <w:sz w:val="32"/>
          <w:szCs w:val="32"/>
        </w:rPr>
        <w:t>万元，增长</w:t>
      </w:r>
      <w:r>
        <w:rPr>
          <w:rFonts w:hint="eastAsia" w:ascii="仿宋_GB2312" w:eastAsia="仿宋_GB2312"/>
          <w:sz w:val="32"/>
          <w:szCs w:val="32"/>
          <w:lang w:val="en-US" w:eastAsia="zh-CN"/>
        </w:rPr>
        <w:t>36.75</w:t>
      </w:r>
      <w:r>
        <w:rPr>
          <w:rFonts w:hint="eastAsia" w:ascii="仿宋_GB2312" w:eastAsia="仿宋_GB2312"/>
          <w:sz w:val="32"/>
          <w:szCs w:val="32"/>
        </w:rPr>
        <w:t>%。主要原因：</w:t>
      </w:r>
      <w:r>
        <w:rPr>
          <w:rFonts w:hint="eastAsia" w:ascii="仿宋_GB2312" w:eastAsia="仿宋_GB2312"/>
          <w:sz w:val="32"/>
          <w:szCs w:val="32"/>
          <w:lang w:eastAsia="zh-CN"/>
        </w:rPr>
        <w:t>中医业务发展，带动全院业务的增长，业务收入增加。</w:t>
      </w:r>
    </w:p>
    <w:p>
      <w:pPr>
        <w:spacing w:line="288"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4．经营收入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5．其他收入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（二）年度支出总体情况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罗定市太平镇卫生院</w:t>
      </w:r>
      <w:r>
        <w:rPr>
          <w:rFonts w:hint="eastAsia" w:ascii="仿宋_GB2312" w:eastAsia="仿宋_GB2312"/>
          <w:sz w:val="32"/>
          <w:szCs w:val="32"/>
          <w:lang w:val="en-US" w:eastAsia="zh-CN"/>
        </w:rPr>
        <w:t>2016</w:t>
      </w:r>
      <w:r>
        <w:rPr>
          <w:rFonts w:hint="eastAsia" w:ascii="仿宋_GB2312" w:eastAsia="仿宋_GB2312"/>
          <w:sz w:val="32"/>
          <w:szCs w:val="32"/>
        </w:rPr>
        <w:t>年度总支出</w:t>
      </w:r>
      <w:r>
        <w:rPr>
          <w:rFonts w:hint="eastAsia" w:ascii="仿宋_GB2312" w:eastAsia="仿宋_GB2312"/>
          <w:sz w:val="32"/>
          <w:szCs w:val="32"/>
          <w:lang w:val="en-US" w:eastAsia="zh-CN"/>
        </w:rPr>
        <w:t>2169.1</w:t>
      </w:r>
      <w:r>
        <w:rPr>
          <w:rFonts w:hint="eastAsia" w:ascii="仿宋_GB2312" w:eastAsia="仿宋_GB2312"/>
          <w:sz w:val="32"/>
          <w:szCs w:val="32"/>
        </w:rPr>
        <w:t>万元，其中本年支出</w:t>
      </w:r>
      <w:r>
        <w:rPr>
          <w:rFonts w:hint="eastAsia" w:ascii="仿宋_GB2312" w:eastAsia="仿宋_GB2312"/>
          <w:sz w:val="32"/>
          <w:szCs w:val="32"/>
          <w:lang w:val="en-US" w:eastAsia="zh-CN"/>
        </w:rPr>
        <w:t>2169.1</w:t>
      </w:r>
      <w:r>
        <w:rPr>
          <w:rFonts w:hint="eastAsia" w:ascii="仿宋_GB2312" w:eastAsia="仿宋_GB2312"/>
          <w:sz w:val="32"/>
          <w:szCs w:val="32"/>
        </w:rPr>
        <w:t>万元。具体情况如下：</w:t>
      </w:r>
    </w:p>
    <w:p>
      <w:pPr>
        <w:numPr>
          <w:ilvl w:val="0"/>
          <w:numId w:val="0"/>
        </w:numPr>
        <w:spacing w:line="640" w:lineRule="exact"/>
        <w:ind w:firstLine="640" w:firstLineChars="200"/>
        <w:rPr>
          <w:rFonts w:hint="eastAsia" w:ascii="仿宋_GB2312"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社会保障和就业</w:t>
      </w:r>
      <w:r>
        <w:rPr>
          <w:rFonts w:hint="eastAsia" w:ascii="仿宋_GB2312" w:eastAsia="仿宋_GB2312"/>
          <w:sz w:val="32"/>
          <w:szCs w:val="32"/>
        </w:rPr>
        <w:t>支出</w:t>
      </w:r>
      <w:r>
        <w:rPr>
          <w:rFonts w:hint="eastAsia" w:ascii="仿宋_GB2312" w:eastAsia="仿宋_GB2312"/>
          <w:sz w:val="32"/>
          <w:szCs w:val="32"/>
          <w:lang w:val="en-US" w:eastAsia="zh-CN"/>
        </w:rPr>
        <w:t>8.86</w:t>
      </w:r>
      <w:r>
        <w:rPr>
          <w:rFonts w:hint="eastAsia" w:ascii="仿宋_GB2312" w:eastAsia="仿宋_GB2312"/>
          <w:sz w:val="32"/>
          <w:szCs w:val="32"/>
        </w:rPr>
        <w:t>万元，主要用于</w:t>
      </w:r>
      <w:r>
        <w:rPr>
          <w:rFonts w:hint="eastAsia" w:ascii="仿宋_GB2312" w:eastAsia="仿宋_GB2312"/>
          <w:sz w:val="32"/>
          <w:szCs w:val="32"/>
          <w:lang w:eastAsia="zh-CN"/>
        </w:rPr>
        <w:t>退休人员经费支出</w:t>
      </w:r>
      <w:r>
        <w:rPr>
          <w:rFonts w:hint="eastAsia" w:ascii="仿宋_GB2312" w:eastAsia="仿宋_GB2312"/>
          <w:sz w:val="32"/>
          <w:szCs w:val="32"/>
        </w:rPr>
        <w:t>，</w:t>
      </w:r>
      <w:r>
        <w:rPr>
          <w:rFonts w:hint="eastAsia" w:ascii="仿宋_GB2312" w:eastAsia="仿宋_GB2312"/>
          <w:sz w:val="32"/>
          <w:szCs w:val="32"/>
          <w:lang w:eastAsia="zh-CN"/>
        </w:rPr>
        <w:t>与上年基本持平。</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医疗卫生与计划生育支出</w:t>
      </w:r>
      <w:r>
        <w:rPr>
          <w:rFonts w:hint="eastAsia" w:ascii="仿宋_GB2312" w:eastAsia="仿宋_GB2312"/>
          <w:sz w:val="32"/>
          <w:szCs w:val="32"/>
          <w:lang w:val="en-US" w:eastAsia="zh-CN"/>
        </w:rPr>
        <w:t>2160.23</w:t>
      </w:r>
      <w:r>
        <w:rPr>
          <w:rFonts w:hint="eastAsia" w:ascii="仿宋_GB2312" w:eastAsia="仿宋_GB2312"/>
          <w:sz w:val="32"/>
          <w:szCs w:val="32"/>
        </w:rPr>
        <w:t>万元，主要支出项目有</w:t>
      </w:r>
      <w:r>
        <w:rPr>
          <w:rFonts w:hint="eastAsia" w:ascii="仿宋_GB2312" w:eastAsia="仿宋_GB2312"/>
          <w:sz w:val="32"/>
          <w:szCs w:val="32"/>
          <w:lang w:eastAsia="zh-CN"/>
        </w:rPr>
        <w:t>人员经费支出</w:t>
      </w:r>
      <w:r>
        <w:rPr>
          <w:rFonts w:hint="eastAsia" w:ascii="仿宋_GB2312" w:eastAsia="仿宋_GB2312"/>
          <w:sz w:val="32"/>
          <w:szCs w:val="32"/>
          <w:lang w:val="en-US" w:eastAsia="zh-CN"/>
        </w:rPr>
        <w:t>412.93万元，</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40.16</w:t>
      </w:r>
      <w:r>
        <w:rPr>
          <w:rFonts w:hint="eastAsia" w:ascii="仿宋_GB2312" w:eastAsia="仿宋_GB2312"/>
          <w:sz w:val="32"/>
          <w:szCs w:val="32"/>
        </w:rPr>
        <w:t xml:space="preserve"> 万元，增长</w:t>
      </w:r>
      <w:r>
        <w:rPr>
          <w:rFonts w:hint="eastAsia" w:ascii="仿宋_GB2312" w:eastAsia="仿宋_GB2312"/>
          <w:sz w:val="32"/>
          <w:szCs w:val="32"/>
          <w:lang w:val="en-US" w:eastAsia="zh-CN"/>
        </w:rPr>
        <w:t>10.77</w:t>
      </w:r>
      <w:r>
        <w:rPr>
          <w:rFonts w:hint="eastAsia" w:ascii="仿宋_GB2312" w:eastAsia="仿宋_GB2312"/>
          <w:sz w:val="32"/>
          <w:szCs w:val="32"/>
        </w:rPr>
        <w:t>%，主要原因是</w:t>
      </w:r>
      <w:r>
        <w:rPr>
          <w:rFonts w:hint="eastAsia" w:ascii="仿宋_GB2312" w:eastAsia="仿宋_GB2312"/>
          <w:sz w:val="32"/>
          <w:szCs w:val="32"/>
          <w:lang w:eastAsia="zh-CN"/>
        </w:rPr>
        <w:t>人员增加；日常公用经费支出</w:t>
      </w:r>
      <w:r>
        <w:rPr>
          <w:rFonts w:hint="eastAsia" w:ascii="仿宋_GB2312" w:eastAsia="仿宋_GB2312"/>
          <w:sz w:val="32"/>
          <w:szCs w:val="32"/>
          <w:lang w:val="en-US" w:eastAsia="zh-CN"/>
        </w:rPr>
        <w:t>754.58万元，</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203.29</w:t>
      </w:r>
      <w:r>
        <w:rPr>
          <w:rFonts w:hint="eastAsia" w:ascii="仿宋_GB2312" w:eastAsia="仿宋_GB2312"/>
          <w:sz w:val="32"/>
          <w:szCs w:val="32"/>
        </w:rPr>
        <w:t>万元，增长</w:t>
      </w:r>
      <w:r>
        <w:rPr>
          <w:rFonts w:hint="eastAsia" w:ascii="仿宋_GB2312" w:eastAsia="仿宋_GB2312"/>
          <w:sz w:val="32"/>
          <w:szCs w:val="32"/>
          <w:lang w:val="en-US" w:eastAsia="zh-CN"/>
        </w:rPr>
        <w:t>36.87</w:t>
      </w:r>
      <w:r>
        <w:rPr>
          <w:rFonts w:hint="eastAsia" w:ascii="仿宋_GB2312" w:eastAsia="仿宋_GB2312"/>
          <w:sz w:val="32"/>
          <w:szCs w:val="32"/>
        </w:rPr>
        <w:t>%，主要原因是</w:t>
      </w:r>
      <w:r>
        <w:rPr>
          <w:rFonts w:hint="eastAsia" w:ascii="仿宋_GB2312" w:eastAsia="仿宋_GB2312"/>
          <w:sz w:val="32"/>
          <w:szCs w:val="32"/>
          <w:lang w:eastAsia="zh-CN"/>
        </w:rPr>
        <w:t>中医部的改造和中医设备的购进；项目支出</w:t>
      </w:r>
      <w:r>
        <w:rPr>
          <w:rFonts w:hint="eastAsia" w:ascii="仿宋_GB2312" w:eastAsia="仿宋_GB2312"/>
          <w:sz w:val="32"/>
          <w:szCs w:val="32"/>
          <w:lang w:val="en-US" w:eastAsia="zh-CN"/>
        </w:rPr>
        <w:t>970.63万元，</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140.63</w:t>
      </w:r>
      <w:r>
        <w:rPr>
          <w:rFonts w:hint="eastAsia" w:ascii="仿宋_GB2312" w:eastAsia="仿宋_GB2312"/>
          <w:sz w:val="32"/>
          <w:szCs w:val="32"/>
        </w:rPr>
        <w:t>万元，增长</w:t>
      </w:r>
      <w:r>
        <w:rPr>
          <w:rFonts w:hint="eastAsia" w:ascii="仿宋_GB2312" w:eastAsia="仿宋_GB2312"/>
          <w:sz w:val="32"/>
          <w:szCs w:val="32"/>
          <w:lang w:val="en-US" w:eastAsia="zh-CN"/>
        </w:rPr>
        <w:t>16.9</w:t>
      </w: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二</w:t>
      </w:r>
      <w:r>
        <w:rPr>
          <w:rFonts w:hint="eastAsia" w:ascii="仿宋_GB2312" w:eastAsia="仿宋_GB2312"/>
          <w:b/>
          <w:sz w:val="32"/>
          <w:szCs w:val="32"/>
        </w:rPr>
        <w:t>、</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罗定市太平镇卫生院</w:t>
      </w:r>
      <w:r>
        <w:rPr>
          <w:rFonts w:hint="eastAsia" w:ascii="仿宋_GB2312" w:eastAsia="仿宋_GB2312"/>
          <w:sz w:val="32"/>
          <w:szCs w:val="32"/>
          <w:lang w:val="en-US" w:eastAsia="zh-CN"/>
        </w:rPr>
        <w:t>2016</w:t>
      </w:r>
      <w:r>
        <w:rPr>
          <w:rFonts w:hint="eastAsia" w:ascii="仿宋_GB2312" w:eastAsia="仿宋_GB2312"/>
          <w:sz w:val="32"/>
          <w:szCs w:val="32"/>
        </w:rPr>
        <w:t>年度财政拨款收入合计</w:t>
      </w:r>
      <w:r>
        <w:rPr>
          <w:rFonts w:hint="eastAsia" w:ascii="仿宋_GB2312" w:eastAsia="仿宋_GB2312"/>
          <w:sz w:val="32"/>
          <w:szCs w:val="32"/>
          <w:lang w:val="en-US" w:eastAsia="zh-CN"/>
        </w:rPr>
        <w:t>1403.77</w:t>
      </w:r>
      <w:r>
        <w:rPr>
          <w:rFonts w:hint="eastAsia" w:ascii="仿宋_GB2312" w:eastAsia="仿宋_GB2312"/>
          <w:sz w:val="32"/>
          <w:szCs w:val="32"/>
        </w:rPr>
        <w:t>万元。其中：一般公共预算财政拨款收入</w:t>
      </w:r>
      <w:r>
        <w:rPr>
          <w:rFonts w:hint="eastAsia" w:ascii="仿宋_GB2312" w:eastAsia="仿宋_GB2312"/>
          <w:sz w:val="32"/>
          <w:szCs w:val="32"/>
          <w:lang w:val="en-US" w:eastAsia="zh-CN"/>
        </w:rPr>
        <w:t>1403.77</w:t>
      </w:r>
      <w:r>
        <w:rPr>
          <w:rFonts w:hint="eastAsia" w:ascii="仿宋_GB2312" w:eastAsia="仿宋_GB2312"/>
          <w:sz w:val="32"/>
          <w:szCs w:val="32"/>
        </w:rPr>
        <w:t>万元，政府性基金预算财政拨款收入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2016</w:t>
      </w:r>
      <w:r>
        <w:rPr>
          <w:rFonts w:hint="eastAsia" w:ascii="仿宋_GB2312" w:eastAsia="仿宋_GB2312"/>
          <w:b/>
          <w:sz w:val="32"/>
          <w:szCs w:val="32"/>
        </w:rPr>
        <w:t>年度财政拨款支出说明</w:t>
      </w:r>
    </w:p>
    <w:p>
      <w:pPr>
        <w:keepNext w:val="0"/>
        <w:keepLines w:val="0"/>
        <w:widowControl w:val="0"/>
        <w:suppressLineNumbers w:val="0"/>
        <w:spacing w:before="0" w:beforeAutospacing="0" w:after="0" w:afterAutospacing="0" w:line="288" w:lineRule="auto"/>
        <w:ind w:left="0" w:right="0" w:firstLine="640" w:firstLineChars="200"/>
        <w:jc w:val="both"/>
        <w:rPr>
          <w:rFonts w:ascii="仿宋_GB2312" w:eastAsia="仿宋_GB2312"/>
          <w:sz w:val="32"/>
          <w:szCs w:val="32"/>
        </w:rPr>
      </w:pPr>
      <w:r>
        <w:rPr>
          <w:rFonts w:hint="eastAsia" w:ascii="仿宋_GB2312" w:eastAsia="仿宋_GB2312"/>
          <w:sz w:val="32"/>
          <w:szCs w:val="32"/>
          <w:lang w:eastAsia="zh-CN"/>
        </w:rPr>
        <w:t>罗定市太平镇卫生院</w:t>
      </w:r>
      <w:r>
        <w:rPr>
          <w:rFonts w:hint="eastAsia" w:ascii="仿宋_GB2312" w:eastAsia="仿宋_GB2312"/>
          <w:sz w:val="32"/>
          <w:szCs w:val="32"/>
          <w:lang w:val="en-US" w:eastAsia="zh-CN"/>
        </w:rPr>
        <w:t>2016</w:t>
      </w:r>
      <w:r>
        <w:rPr>
          <w:rFonts w:hint="eastAsia" w:ascii="仿宋_GB2312" w:eastAsia="仿宋_GB2312"/>
          <w:sz w:val="32"/>
          <w:szCs w:val="32"/>
        </w:rPr>
        <w:t>年度财政拨款支出合计</w:t>
      </w:r>
      <w:r>
        <w:rPr>
          <w:rFonts w:hint="eastAsia" w:ascii="仿宋_GB2312" w:eastAsia="仿宋_GB2312"/>
          <w:sz w:val="32"/>
          <w:szCs w:val="32"/>
          <w:lang w:val="en-US" w:eastAsia="zh-CN"/>
        </w:rPr>
        <w:t>1403.77</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1403.77</w:t>
      </w:r>
      <w:r>
        <w:rPr>
          <w:rFonts w:hint="eastAsia" w:ascii="仿宋_GB2312" w:eastAsia="仿宋_GB2312"/>
          <w:sz w:val="32"/>
          <w:szCs w:val="32"/>
        </w:rPr>
        <w:t>万元，</w:t>
      </w:r>
      <w:r>
        <w:rPr>
          <w:rFonts w:hint="eastAsia" w:ascii="仿宋_GB2312" w:hAnsi="仿宋_GB2312" w:eastAsia="仿宋_GB2312" w:cs="仿宋_GB2312"/>
          <w:kern w:val="2"/>
          <w:sz w:val="32"/>
          <w:szCs w:val="28"/>
          <w:lang w:val="en-US" w:eastAsia="zh-CN" w:bidi="ar"/>
        </w:rPr>
        <w:t>按用途划分：基本支出703.15万元，占50%，项目支出决算</w:t>
      </w:r>
      <w:r>
        <w:rPr>
          <w:rFonts w:hint="eastAsia" w:ascii="仿宋_GB2312" w:hAnsi="仿宋_GB2312" w:eastAsia="仿宋_GB2312" w:cs="仿宋_GB2312"/>
          <w:kern w:val="2"/>
          <w:sz w:val="32"/>
          <w:szCs w:val="32"/>
          <w:lang w:val="en-US" w:eastAsia="zh-CN" w:bidi="ar"/>
        </w:rPr>
        <w:t>700.63</w:t>
      </w:r>
      <w:r>
        <w:rPr>
          <w:rFonts w:hint="eastAsia" w:ascii="仿宋_GB2312" w:hAnsi="仿宋_GB2312" w:eastAsia="仿宋_GB2312" w:cs="仿宋_GB2312"/>
          <w:kern w:val="2"/>
          <w:sz w:val="32"/>
          <w:szCs w:val="28"/>
          <w:lang w:val="en-US" w:eastAsia="zh-CN" w:bidi="ar"/>
        </w:rPr>
        <w:t>万元，占50%。</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w:t>
      </w:r>
      <w:r>
        <w:rPr>
          <w:rFonts w:hint="eastAsia" w:ascii="仿宋_GB2312" w:eastAsia="仿宋_GB2312"/>
          <w:b/>
          <w:sz w:val="32"/>
          <w:szCs w:val="32"/>
          <w:lang w:val="en-US" w:eastAsia="zh-CN"/>
        </w:rPr>
        <w:t>2016</w:t>
      </w:r>
      <w:r>
        <w:rPr>
          <w:rFonts w:hint="eastAsia" w:ascii="仿宋_GB2312" w:eastAsia="仿宋_GB2312"/>
          <w:b/>
          <w:sz w:val="32"/>
          <w:szCs w:val="32"/>
        </w:rPr>
        <w:t>年度财政拨款“三公”经费支出决算情况说明</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（一）“三公”经费财政拨款支出决算总体情况说明</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罗定市太平镇卫生院</w:t>
      </w:r>
      <w:r>
        <w:rPr>
          <w:rFonts w:hint="eastAsia" w:ascii="仿宋_GB2312" w:eastAsia="仿宋_GB2312"/>
          <w:sz w:val="32"/>
          <w:szCs w:val="32"/>
          <w:lang w:val="en-US" w:eastAsia="zh-CN"/>
        </w:rPr>
        <w:t>2016</w:t>
      </w:r>
      <w:r>
        <w:rPr>
          <w:rFonts w:hint="eastAsia" w:ascii="仿宋_GB2312" w:eastAsia="仿宋_GB2312"/>
          <w:sz w:val="32"/>
          <w:szCs w:val="32"/>
        </w:rPr>
        <w:t>年度“</w:t>
      </w:r>
      <w:r>
        <w:rPr>
          <w:rFonts w:hint="eastAsia" w:ascii="仿宋_GB2312" w:hAnsi="宋体" w:eastAsia="仿宋_GB2312"/>
          <w:sz w:val="32"/>
          <w:szCs w:val="32"/>
        </w:rPr>
        <w:t>三公”经费财政拨款支出决算为</w:t>
      </w:r>
      <w:r>
        <w:rPr>
          <w:rFonts w:hint="eastAsia" w:ascii="仿宋_GB2312" w:hAnsi="宋体" w:eastAsia="仿宋_GB2312"/>
          <w:sz w:val="32"/>
          <w:szCs w:val="32"/>
          <w:lang w:val="en-US" w:eastAsia="zh-CN"/>
        </w:rPr>
        <w:t>1.44</w:t>
      </w:r>
      <w:r>
        <w:rPr>
          <w:rFonts w:hint="eastAsia" w:ascii="仿宋_GB2312" w:hAnsi="宋体" w:eastAsia="仿宋_GB2312"/>
          <w:sz w:val="32"/>
          <w:szCs w:val="32"/>
        </w:rPr>
        <w:t>万元，完成预算</w:t>
      </w:r>
      <w:r>
        <w:rPr>
          <w:rFonts w:hint="eastAsia" w:ascii="仿宋_GB2312" w:hAnsi="宋体" w:eastAsia="仿宋_GB2312"/>
          <w:sz w:val="32"/>
          <w:szCs w:val="32"/>
          <w:lang w:val="en-US" w:eastAsia="zh-CN"/>
        </w:rPr>
        <w:t>1.44</w:t>
      </w:r>
      <w:r>
        <w:rPr>
          <w:rFonts w:hint="eastAsia" w:ascii="仿宋_GB2312" w:hAnsi="宋体" w:eastAsia="仿宋_GB2312"/>
          <w:sz w:val="32"/>
          <w:szCs w:val="32"/>
        </w:rPr>
        <w:t>万元的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%。其中：</w:t>
      </w:r>
      <w:r>
        <w:rPr>
          <w:rFonts w:hint="eastAsia" w:ascii="仿宋_GB2312" w:eastAsia="仿宋_GB2312"/>
          <w:sz w:val="32"/>
          <w:szCs w:val="32"/>
        </w:rPr>
        <w:t>因公出国（境）费支出决算为</w:t>
      </w:r>
      <w:r>
        <w:rPr>
          <w:rFonts w:hint="eastAsia" w:ascii="仿宋_GB2312" w:eastAsia="仿宋_GB2312"/>
          <w:sz w:val="32"/>
          <w:szCs w:val="32"/>
          <w:lang w:val="en-US" w:eastAsia="zh-CN"/>
        </w:rPr>
        <w:t>0</w:t>
      </w:r>
      <w:r>
        <w:rPr>
          <w:rFonts w:hint="eastAsia" w:ascii="仿宋_GB2312" w:eastAsia="仿宋_GB2312"/>
          <w:sz w:val="32"/>
          <w:szCs w:val="32"/>
        </w:rPr>
        <w:t>万元；公务用车购置及运行维护费支出决算为</w:t>
      </w:r>
      <w:r>
        <w:rPr>
          <w:rFonts w:hint="eastAsia" w:ascii="仿宋_GB2312" w:eastAsia="仿宋_GB2312"/>
          <w:sz w:val="32"/>
          <w:szCs w:val="32"/>
          <w:lang w:val="en-US" w:eastAsia="zh-CN"/>
        </w:rPr>
        <w:t>1.11</w:t>
      </w:r>
      <w:r>
        <w:rPr>
          <w:rFonts w:hint="eastAsia" w:ascii="仿宋_GB2312" w:eastAsia="仿宋_GB2312"/>
          <w:sz w:val="32"/>
          <w:szCs w:val="32"/>
        </w:rPr>
        <w:t>万元，完成预算</w:t>
      </w:r>
      <w:r>
        <w:rPr>
          <w:rFonts w:hint="eastAsia" w:ascii="仿宋_GB2312" w:eastAsia="仿宋_GB2312"/>
          <w:sz w:val="32"/>
          <w:szCs w:val="32"/>
          <w:lang w:val="en-US" w:eastAsia="zh-CN"/>
        </w:rPr>
        <w:t>1.11</w:t>
      </w:r>
      <w:r>
        <w:rPr>
          <w:rFonts w:hint="eastAsia" w:ascii="仿宋_GB2312" w:eastAsia="仿宋_GB2312"/>
          <w:sz w:val="32"/>
          <w:szCs w:val="32"/>
        </w:rPr>
        <w:t>万元的</w:t>
      </w:r>
      <w:r>
        <w:rPr>
          <w:rFonts w:hint="eastAsia" w:ascii="仿宋_GB2312" w:eastAsia="仿宋_GB2312"/>
          <w:sz w:val="32"/>
          <w:szCs w:val="32"/>
          <w:lang w:val="en-US" w:eastAsia="zh-CN"/>
        </w:rPr>
        <w:t>100</w:t>
      </w:r>
      <w:r>
        <w:rPr>
          <w:rFonts w:hint="eastAsia" w:ascii="仿宋_GB2312" w:eastAsia="仿宋_GB2312"/>
          <w:sz w:val="32"/>
          <w:szCs w:val="32"/>
        </w:rPr>
        <w:t>%；公务接待费支出决算为</w:t>
      </w:r>
      <w:r>
        <w:rPr>
          <w:rFonts w:hint="eastAsia" w:ascii="仿宋_GB2312" w:eastAsia="仿宋_GB2312"/>
          <w:sz w:val="32"/>
          <w:szCs w:val="32"/>
          <w:lang w:val="en-US" w:eastAsia="zh-CN"/>
        </w:rPr>
        <w:t>0.33</w:t>
      </w:r>
      <w:r>
        <w:rPr>
          <w:rFonts w:hint="eastAsia" w:ascii="仿宋_GB2312" w:eastAsia="仿宋_GB2312"/>
          <w:sz w:val="32"/>
          <w:szCs w:val="32"/>
        </w:rPr>
        <w:t>万元，完成预算</w:t>
      </w:r>
      <w:r>
        <w:rPr>
          <w:rFonts w:hint="eastAsia" w:ascii="仿宋_GB2312" w:eastAsia="仿宋_GB2312"/>
          <w:sz w:val="32"/>
          <w:szCs w:val="32"/>
          <w:lang w:val="en-US" w:eastAsia="zh-CN"/>
        </w:rPr>
        <w:t>0.33</w:t>
      </w:r>
      <w:r>
        <w:rPr>
          <w:rFonts w:hint="eastAsia" w:ascii="仿宋_GB2312" w:eastAsia="仿宋_GB2312"/>
          <w:sz w:val="32"/>
          <w:szCs w:val="32"/>
        </w:rPr>
        <w:t>万元的</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val="en-US" w:eastAsia="zh-CN"/>
        </w:rPr>
        <w:t>2016</w:t>
      </w:r>
      <w:r>
        <w:rPr>
          <w:rFonts w:hint="eastAsia" w:ascii="仿宋_GB2312" w:eastAsia="仿宋_GB2312"/>
          <w:sz w:val="32"/>
          <w:szCs w:val="32"/>
        </w:rPr>
        <w:t>年度“三公”经费支出决算</w:t>
      </w:r>
      <w:r>
        <w:rPr>
          <w:rFonts w:hint="eastAsia" w:ascii="仿宋_GB2312" w:eastAsia="仿宋_GB2312"/>
          <w:sz w:val="32"/>
          <w:szCs w:val="32"/>
          <w:lang w:eastAsia="zh-CN"/>
        </w:rPr>
        <w:t>等于</w:t>
      </w:r>
      <w:r>
        <w:rPr>
          <w:rFonts w:hint="eastAsia" w:ascii="仿宋_GB2312" w:eastAsia="仿宋_GB2312"/>
          <w:sz w:val="32"/>
          <w:szCs w:val="32"/>
        </w:rPr>
        <w:t>预算数的主要原因是认真贯彻落实中央“八项规定”精神和厉行节约的要求，从严控制“三公”经费开支</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lang w:eastAsia="zh-CN"/>
        </w:rPr>
      </w:pPr>
      <w:r>
        <w:rPr>
          <w:rFonts w:hint="eastAsia" w:ascii="仿宋_GB2312" w:hAnsi="宋体" w:eastAsia="仿宋_GB2312"/>
          <w:sz w:val="32"/>
          <w:szCs w:val="32"/>
        </w:rPr>
        <w:t>与</w:t>
      </w:r>
      <w:r>
        <w:rPr>
          <w:rFonts w:hint="eastAsia" w:ascii="仿宋_GB2312" w:hAnsi="宋体" w:eastAsia="仿宋_GB2312"/>
          <w:sz w:val="32"/>
          <w:szCs w:val="32"/>
          <w:lang w:eastAsia="zh-CN"/>
        </w:rPr>
        <w:t>上</w:t>
      </w:r>
      <w:r>
        <w:rPr>
          <w:rFonts w:hint="eastAsia" w:ascii="仿宋_GB2312" w:hAnsi="宋体" w:eastAsia="仿宋_GB2312"/>
          <w:sz w:val="32"/>
          <w:szCs w:val="32"/>
        </w:rPr>
        <w:t>年相比，</w:t>
      </w:r>
      <w:r>
        <w:rPr>
          <w:rFonts w:hint="eastAsia" w:ascii="仿宋_GB2312" w:hAnsi="宋体" w:eastAsia="仿宋_GB2312"/>
          <w:sz w:val="32"/>
          <w:szCs w:val="32"/>
          <w:lang w:val="en-US" w:eastAsia="zh-CN"/>
        </w:rPr>
        <w:t>2016</w:t>
      </w:r>
      <w:r>
        <w:rPr>
          <w:rFonts w:hint="eastAsia" w:ascii="仿宋_GB2312" w:hAnsi="宋体" w:eastAsia="仿宋_GB2312"/>
          <w:sz w:val="32"/>
          <w:szCs w:val="32"/>
        </w:rPr>
        <w:t>年度</w:t>
      </w:r>
      <w:r>
        <w:rPr>
          <w:rFonts w:hint="eastAsia" w:ascii="仿宋_GB2312" w:eastAsia="仿宋_GB2312"/>
          <w:sz w:val="32"/>
          <w:szCs w:val="32"/>
        </w:rPr>
        <w:t>“</w:t>
      </w:r>
      <w:r>
        <w:rPr>
          <w:rFonts w:hint="eastAsia" w:ascii="仿宋_GB2312" w:hAnsi="宋体" w:eastAsia="仿宋_GB2312"/>
          <w:sz w:val="32"/>
          <w:szCs w:val="32"/>
        </w:rPr>
        <w:t>三公”经费财政拨款支出决算数</w:t>
      </w:r>
      <w:r>
        <w:rPr>
          <w:rFonts w:hint="eastAsia" w:ascii="仿宋_GB2312" w:hAnsi="宋体" w:eastAsia="仿宋_GB2312"/>
          <w:sz w:val="32"/>
          <w:szCs w:val="32"/>
          <w:lang w:eastAsia="zh-CN"/>
        </w:rPr>
        <w:t>与上</w:t>
      </w:r>
      <w:r>
        <w:rPr>
          <w:rFonts w:hint="eastAsia" w:ascii="仿宋_GB2312" w:hAnsi="宋体" w:eastAsia="仿宋_GB2312"/>
          <w:sz w:val="32"/>
          <w:szCs w:val="32"/>
        </w:rPr>
        <w:t>年</w:t>
      </w:r>
      <w:r>
        <w:rPr>
          <w:rFonts w:hint="eastAsia" w:ascii="仿宋_GB2312" w:hAnsi="宋体" w:eastAsia="仿宋_GB2312"/>
          <w:sz w:val="32"/>
          <w:szCs w:val="32"/>
          <w:lang w:eastAsia="zh-CN"/>
        </w:rPr>
        <w:t>不变，</w:t>
      </w:r>
      <w:r>
        <w:rPr>
          <w:rFonts w:hint="eastAsia" w:ascii="仿宋_GB2312" w:eastAsia="仿宋_GB2312"/>
          <w:sz w:val="32"/>
          <w:szCs w:val="32"/>
        </w:rPr>
        <w:t>主要原因是认真贯彻落实中央“八项规定”精神和厉行节约的要求，从严控制“三公”经费开支</w:t>
      </w:r>
      <w:r>
        <w:rPr>
          <w:rFonts w:hint="eastAsia" w:ascii="仿宋_GB2312" w:eastAsia="仿宋_GB2312"/>
          <w:sz w:val="32"/>
          <w:szCs w:val="32"/>
          <w:lang w:eastAsia="zh-CN"/>
        </w:rPr>
        <w:t>。</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hAnsi="宋体" w:eastAsia="仿宋_GB2312"/>
          <w:sz w:val="32"/>
          <w:szCs w:val="32"/>
          <w:lang w:val="en-US" w:eastAsia="zh-CN"/>
        </w:rPr>
        <w:t>2016</w:t>
      </w:r>
      <w:r>
        <w:rPr>
          <w:rFonts w:hint="eastAsia" w:ascii="仿宋_GB2312" w:hAnsi="宋体" w:eastAsia="仿宋_GB2312"/>
          <w:sz w:val="32"/>
          <w:szCs w:val="32"/>
        </w:rPr>
        <w:t>年</w:t>
      </w:r>
      <w:r>
        <w:rPr>
          <w:rFonts w:hint="eastAsia" w:ascii="仿宋_GB2312" w:eastAsia="仿宋_GB2312"/>
          <w:sz w:val="32"/>
          <w:szCs w:val="32"/>
        </w:rPr>
        <w:t>“三公”经费财政拨款支出决算中，因公出国（境）费</w:t>
      </w:r>
      <w:r>
        <w:rPr>
          <w:rFonts w:hint="eastAsia" w:ascii="仿宋_GB2312" w:eastAsia="仿宋_GB2312"/>
          <w:sz w:val="32"/>
          <w:szCs w:val="32"/>
          <w:lang w:val="en-US" w:eastAsia="zh-CN"/>
        </w:rPr>
        <w:t>0</w:t>
      </w:r>
      <w:r>
        <w:rPr>
          <w:rFonts w:hint="eastAsia" w:ascii="仿宋_GB2312" w:eastAsia="仿宋_GB2312"/>
          <w:sz w:val="32"/>
          <w:szCs w:val="32"/>
        </w:rPr>
        <w:t>万元，占 %；公务用车购置及运行维护费支出</w:t>
      </w:r>
      <w:r>
        <w:rPr>
          <w:rFonts w:hint="eastAsia" w:ascii="仿宋_GB2312" w:eastAsia="仿宋_GB2312"/>
          <w:sz w:val="32"/>
          <w:szCs w:val="32"/>
          <w:lang w:val="en-US" w:eastAsia="zh-CN"/>
        </w:rPr>
        <w:t>1.11</w:t>
      </w:r>
      <w:r>
        <w:rPr>
          <w:rFonts w:hint="eastAsia" w:ascii="仿宋_GB2312" w:eastAsia="仿宋_GB2312"/>
          <w:sz w:val="32"/>
          <w:szCs w:val="32"/>
        </w:rPr>
        <w:t>万元，占</w:t>
      </w:r>
      <w:r>
        <w:rPr>
          <w:rFonts w:hint="eastAsia" w:ascii="仿宋_GB2312" w:eastAsia="仿宋_GB2312"/>
          <w:sz w:val="32"/>
          <w:szCs w:val="32"/>
          <w:lang w:val="en-US" w:eastAsia="zh-CN"/>
        </w:rPr>
        <w:t>77</w:t>
      </w:r>
      <w:r>
        <w:rPr>
          <w:rFonts w:hint="eastAsia" w:ascii="仿宋_GB2312" w:eastAsia="仿宋_GB2312"/>
          <w:sz w:val="32"/>
          <w:szCs w:val="32"/>
        </w:rPr>
        <w:t>%；公务接待费支出</w:t>
      </w:r>
      <w:r>
        <w:rPr>
          <w:rFonts w:hint="eastAsia" w:ascii="仿宋_GB2312" w:eastAsia="仿宋_GB2312"/>
          <w:sz w:val="32"/>
          <w:szCs w:val="32"/>
          <w:lang w:val="en-US" w:eastAsia="zh-CN"/>
        </w:rPr>
        <w:t>0.33</w:t>
      </w:r>
      <w:r>
        <w:rPr>
          <w:rFonts w:hint="eastAsia" w:ascii="仿宋_GB2312" w:eastAsia="仿宋_GB2312"/>
          <w:sz w:val="32"/>
          <w:szCs w:val="32"/>
        </w:rPr>
        <w:t>万元，占</w:t>
      </w:r>
      <w:r>
        <w:rPr>
          <w:rFonts w:hint="eastAsia" w:ascii="仿宋_GB2312" w:eastAsia="仿宋_GB2312"/>
          <w:sz w:val="32"/>
          <w:szCs w:val="32"/>
          <w:lang w:val="en-US" w:eastAsia="zh-CN"/>
        </w:rPr>
        <w:t>23</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1.因公出国（境）费支出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w:t>
      </w:r>
      <w:r>
        <w:rPr>
          <w:rFonts w:hint="eastAsia" w:ascii="仿宋_GB2312" w:eastAsia="仿宋_GB2312"/>
          <w:sz w:val="32"/>
          <w:szCs w:val="32"/>
          <w:lang w:val="en-US" w:eastAsia="zh-CN"/>
        </w:rPr>
        <w:t>1.11</w:t>
      </w:r>
      <w:r>
        <w:rPr>
          <w:rFonts w:hint="eastAsia" w:ascii="仿宋_GB2312" w:eastAsia="仿宋_GB2312"/>
          <w:sz w:val="32"/>
          <w:szCs w:val="32"/>
        </w:rPr>
        <w:t>万元，其中：公务用车购置支出为</w:t>
      </w:r>
      <w:r>
        <w:rPr>
          <w:rFonts w:hint="eastAsia" w:ascii="仿宋_GB2312" w:eastAsia="仿宋_GB2312"/>
          <w:sz w:val="32"/>
          <w:szCs w:val="32"/>
          <w:lang w:val="en-US" w:eastAsia="zh-CN"/>
        </w:rPr>
        <w:t>0</w:t>
      </w:r>
      <w:r>
        <w:rPr>
          <w:rFonts w:hint="eastAsia" w:ascii="仿宋_GB2312" w:eastAsia="仿宋_GB2312"/>
          <w:sz w:val="32"/>
          <w:szCs w:val="32"/>
        </w:rPr>
        <w:t>万元，公务用车运行及维护支出</w:t>
      </w:r>
      <w:r>
        <w:rPr>
          <w:rFonts w:hint="eastAsia" w:ascii="仿宋_GB2312" w:eastAsia="仿宋_GB2312"/>
          <w:sz w:val="32"/>
          <w:szCs w:val="32"/>
          <w:lang w:val="en-US" w:eastAsia="zh-CN"/>
        </w:rPr>
        <w:t>1.11</w:t>
      </w:r>
      <w:r>
        <w:rPr>
          <w:rFonts w:hint="eastAsia" w:ascii="仿宋_GB2312" w:eastAsia="仿宋_GB2312"/>
          <w:sz w:val="32"/>
          <w:szCs w:val="32"/>
        </w:rPr>
        <w:t>万元，</w:t>
      </w:r>
      <w:r>
        <w:rPr>
          <w:rFonts w:hint="eastAsia" w:ascii="仿宋_GB2312" w:eastAsia="仿宋_GB2312"/>
          <w:sz w:val="32"/>
          <w:szCs w:val="32"/>
          <w:lang w:val="en-US" w:eastAsia="zh-CN"/>
        </w:rPr>
        <w:t>2016</w:t>
      </w:r>
      <w:r>
        <w:rPr>
          <w:rFonts w:hint="eastAsia" w:ascii="仿宋_GB2312" w:eastAsia="仿宋_GB2312"/>
          <w:sz w:val="32"/>
          <w:szCs w:val="32"/>
        </w:rPr>
        <w:t>年</w:t>
      </w:r>
      <w:r>
        <w:rPr>
          <w:rFonts w:hint="eastAsia" w:ascii="仿宋_GB2312" w:eastAsia="仿宋_GB2312"/>
          <w:sz w:val="32"/>
          <w:szCs w:val="32"/>
          <w:lang w:eastAsia="zh-CN"/>
        </w:rPr>
        <w:t>本</w:t>
      </w:r>
      <w:r>
        <w:rPr>
          <w:rFonts w:hint="eastAsia" w:ascii="仿宋_GB2312" w:eastAsia="仿宋_GB2312"/>
          <w:sz w:val="32"/>
          <w:szCs w:val="32"/>
        </w:rPr>
        <w:t>单位公务用车保有量为</w:t>
      </w:r>
      <w:r>
        <w:rPr>
          <w:rFonts w:hint="eastAsia" w:ascii="仿宋_GB2312" w:eastAsia="仿宋_GB2312"/>
          <w:sz w:val="32"/>
          <w:szCs w:val="32"/>
          <w:lang w:val="en-US" w:eastAsia="zh-CN"/>
        </w:rPr>
        <w:t>3</w:t>
      </w:r>
      <w:r>
        <w:rPr>
          <w:rFonts w:hint="eastAsia" w:ascii="仿宋_GB2312" w:eastAsia="仿宋_GB2312"/>
          <w:sz w:val="32"/>
          <w:szCs w:val="32"/>
        </w:rPr>
        <w:t>辆，主要用于</w:t>
      </w:r>
      <w:r>
        <w:rPr>
          <w:rFonts w:hint="eastAsia" w:ascii="仿宋_GB2312" w:eastAsia="仿宋_GB2312"/>
          <w:sz w:val="32"/>
          <w:szCs w:val="32"/>
          <w:lang w:eastAsia="zh-CN"/>
        </w:rPr>
        <w:t>救护车用</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3.公务接待费支出</w:t>
      </w:r>
      <w:r>
        <w:rPr>
          <w:rFonts w:hint="eastAsia" w:ascii="仿宋_GB2312" w:eastAsia="仿宋_GB2312"/>
          <w:sz w:val="32"/>
          <w:szCs w:val="32"/>
          <w:lang w:val="en-US" w:eastAsia="zh-CN"/>
        </w:rPr>
        <w:t>0.33</w:t>
      </w:r>
      <w:r>
        <w:rPr>
          <w:rFonts w:hint="eastAsia" w:ascii="仿宋_GB2312" w:eastAsia="仿宋_GB2312"/>
          <w:sz w:val="32"/>
          <w:szCs w:val="32"/>
        </w:rPr>
        <w:t>万元，主要用于上级单位检查和相关单位交流工作等方面的接待。</w:t>
      </w:r>
      <w:r>
        <w:rPr>
          <w:rFonts w:hint="eastAsia" w:ascii="仿宋_GB2312" w:eastAsia="仿宋_GB2312"/>
          <w:sz w:val="32"/>
          <w:szCs w:val="32"/>
          <w:lang w:val="en-US" w:eastAsia="zh-CN"/>
        </w:rPr>
        <w:t>2016</w:t>
      </w:r>
      <w:r>
        <w:rPr>
          <w:rFonts w:hint="eastAsia" w:ascii="仿宋_GB2312" w:eastAsia="仿宋_GB2312"/>
          <w:sz w:val="32"/>
          <w:szCs w:val="32"/>
        </w:rPr>
        <w:t>年，</w:t>
      </w:r>
      <w:r>
        <w:rPr>
          <w:rFonts w:hint="eastAsia" w:ascii="仿宋_GB2312" w:eastAsia="仿宋_GB2312"/>
          <w:sz w:val="32"/>
          <w:szCs w:val="32"/>
          <w:lang w:eastAsia="zh-CN"/>
        </w:rPr>
        <w:t>本</w:t>
      </w:r>
      <w:r>
        <w:rPr>
          <w:rFonts w:hint="eastAsia" w:ascii="仿宋_GB2312" w:eastAsia="仿宋_GB2312"/>
          <w:sz w:val="32"/>
          <w:szCs w:val="32"/>
        </w:rPr>
        <w:t>单位共发生国内接待</w:t>
      </w:r>
      <w:r>
        <w:rPr>
          <w:rFonts w:hint="eastAsia" w:ascii="仿宋_GB2312" w:eastAsia="仿宋_GB2312"/>
          <w:sz w:val="32"/>
          <w:szCs w:val="32"/>
          <w:lang w:val="en-US" w:eastAsia="zh-CN"/>
        </w:rPr>
        <w:t>4</w:t>
      </w:r>
      <w:r>
        <w:rPr>
          <w:rFonts w:hint="eastAsia" w:ascii="仿宋_GB2312" w:eastAsia="仿宋_GB2312"/>
          <w:sz w:val="32"/>
          <w:szCs w:val="32"/>
        </w:rPr>
        <w:t>次，接待人数共</w:t>
      </w:r>
      <w:r>
        <w:rPr>
          <w:rFonts w:hint="eastAsia" w:ascii="仿宋_GB2312" w:eastAsia="仿宋_GB2312"/>
          <w:sz w:val="32"/>
          <w:szCs w:val="32"/>
          <w:lang w:val="en-US" w:eastAsia="zh-CN"/>
        </w:rPr>
        <w:t>41</w:t>
      </w:r>
      <w:r>
        <w:rPr>
          <w:rFonts w:hint="eastAsia" w:ascii="仿宋_GB2312" w:eastAsia="仿宋_GB2312"/>
          <w:sz w:val="32"/>
          <w:szCs w:val="32"/>
        </w:rPr>
        <w:t>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四</w:t>
      </w:r>
      <w:r>
        <w:rPr>
          <w:rFonts w:hint="eastAsia" w:ascii="仿宋_GB2312" w:eastAsia="仿宋_GB2312"/>
          <w:b/>
          <w:sz w:val="32"/>
          <w:szCs w:val="32"/>
        </w:rPr>
        <w:t>、其他重要事项的情况说明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（一）机关运行经费支出情况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（二）政府采购支出情况说明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（三）国有资产占用情况</w:t>
      </w:r>
    </w:p>
    <w:p>
      <w:pPr>
        <w:spacing w:line="580" w:lineRule="exact"/>
        <w:ind w:firstLine="640" w:firstLineChars="200"/>
        <w:rPr>
          <w:rFonts w:ascii="仿宋_GB2312" w:eastAsia="仿宋_GB2312"/>
          <w:b/>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2016</w:t>
      </w:r>
      <w:r>
        <w:rPr>
          <w:rFonts w:hint="eastAsia" w:ascii="仿宋_GB2312" w:eastAsia="仿宋_GB2312"/>
          <w:sz w:val="32"/>
          <w:szCs w:val="32"/>
        </w:rPr>
        <w:t>年12月31日，本部门共有车辆</w:t>
      </w:r>
      <w:r>
        <w:rPr>
          <w:rFonts w:hint="eastAsia" w:ascii="仿宋_GB2312" w:eastAsia="仿宋_GB2312"/>
          <w:sz w:val="32"/>
          <w:szCs w:val="32"/>
          <w:lang w:val="en-US" w:eastAsia="zh-CN"/>
        </w:rPr>
        <w:t>3</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辆（用于机要通信、应急工作）、一般执法执勤用车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3</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hAnsi="宋体" w:eastAsia="仿宋_GB2312" w:cs="宋体"/>
          <w:b/>
          <w:kern w:val="0"/>
          <w:sz w:val="32"/>
          <w:szCs w:val="32"/>
        </w:rPr>
        <w:t>单位价值</w:t>
      </w:r>
      <w:r>
        <w:rPr>
          <w:rFonts w:ascii="仿宋_GB2312" w:hAnsi="宋体" w:eastAsia="仿宋_GB2312" w:cs="宋体"/>
          <w:b/>
          <w:kern w:val="0"/>
          <w:sz w:val="32"/>
          <w:szCs w:val="32"/>
        </w:rPr>
        <w:t>50万元以上通用设备</w:t>
      </w:r>
      <w:r>
        <w:rPr>
          <w:rFonts w:hint="eastAsia" w:ascii="仿宋_GB2312" w:hAnsi="宋体" w:eastAsia="仿宋_GB2312" w:cs="宋体"/>
          <w:b/>
          <w:kern w:val="0"/>
          <w:sz w:val="32"/>
          <w:szCs w:val="32"/>
          <w:lang w:val="en-US" w:eastAsia="zh-CN"/>
        </w:rPr>
        <w:t>4</w:t>
      </w:r>
      <w:r>
        <w:rPr>
          <w:rFonts w:hint="eastAsia" w:ascii="仿宋_GB2312" w:hAnsi="宋体" w:eastAsia="仿宋_GB2312" w:cs="宋体"/>
          <w:b/>
          <w:kern w:val="0"/>
          <w:sz w:val="32"/>
          <w:szCs w:val="32"/>
        </w:rPr>
        <w:t>台（套），单价</w:t>
      </w:r>
      <w:r>
        <w:rPr>
          <w:rFonts w:ascii="仿宋_GB2312" w:hAnsi="宋体" w:eastAsia="仿宋_GB2312" w:cs="宋体"/>
          <w:b/>
          <w:kern w:val="0"/>
          <w:sz w:val="32"/>
          <w:szCs w:val="32"/>
        </w:rPr>
        <w:t>100万元以上专用设备</w:t>
      </w:r>
      <w:r>
        <w:rPr>
          <w:rFonts w:hint="eastAsia" w:ascii="仿宋_GB2312" w:hAnsi="宋体" w:eastAsia="仿宋_GB2312" w:cs="宋体"/>
          <w:b/>
          <w:kern w:val="0"/>
          <w:sz w:val="32"/>
          <w:szCs w:val="32"/>
          <w:lang w:val="en-US" w:eastAsia="zh-CN"/>
        </w:rPr>
        <w:t>0</w:t>
      </w:r>
      <w:r>
        <w:rPr>
          <w:rFonts w:hint="eastAsia" w:ascii="仿宋_GB2312" w:hAnsi="宋体" w:eastAsia="仿宋_GB2312" w:cs="宋体"/>
          <w:b/>
          <w:kern w:val="0"/>
          <w:sz w:val="32"/>
          <w:szCs w:val="32"/>
        </w:rPr>
        <w:t>台（套）。</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（四）预算绩效管理工作开展情况。</w:t>
      </w:r>
    </w:p>
    <w:p>
      <w:pPr>
        <w:snapToGrid w:val="0"/>
        <w:spacing w:line="580" w:lineRule="exact"/>
        <w:ind w:firstLine="200"/>
        <w:rPr>
          <w:rFonts w:hint="eastAsia" w:ascii="仿宋_GB2312" w:eastAsia="仿宋_GB2312"/>
          <w:sz w:val="32"/>
          <w:szCs w:val="32"/>
        </w:rPr>
      </w:pPr>
      <w:r>
        <w:rPr>
          <w:rFonts w:hint="eastAsia" w:ascii="仿宋_GB2312" w:eastAsia="仿宋_GB2312"/>
          <w:sz w:val="32"/>
          <w:szCs w:val="32"/>
        </w:rPr>
        <w:t xml:space="preserve">    </w:t>
      </w:r>
      <w:r>
        <w:rPr>
          <w:rFonts w:ascii="仿宋_GB2312" w:eastAsia="仿宋_GB2312"/>
          <w:b/>
          <w:sz w:val="32"/>
          <w:szCs w:val="32"/>
        </w:rPr>
        <w:t>1</w:t>
      </w:r>
      <w:r>
        <w:rPr>
          <w:rFonts w:hint="eastAsia" w:ascii="仿宋_GB2312" w:eastAsia="仿宋_GB2312"/>
          <w:b/>
          <w:sz w:val="32"/>
          <w:szCs w:val="32"/>
        </w:rPr>
        <w:t>．绩效管理工作总体情况。</w:t>
      </w:r>
      <w:r>
        <w:rPr>
          <w:rFonts w:hint="eastAsia" w:ascii="仿宋_GB2312" w:eastAsia="仿宋_GB2312"/>
          <w:sz w:val="32"/>
          <w:szCs w:val="32"/>
        </w:rPr>
        <w:t>根据财政预算管理要求，我部门组织对</w:t>
      </w:r>
      <w:r>
        <w:rPr>
          <w:rFonts w:hint="eastAsia" w:ascii="仿宋_GB2312" w:eastAsia="仿宋_GB2312"/>
          <w:sz w:val="32"/>
          <w:szCs w:val="32"/>
          <w:lang w:val="en-US" w:eastAsia="zh-CN"/>
        </w:rPr>
        <w:t>2016</w:t>
      </w:r>
      <w:r>
        <w:rPr>
          <w:rFonts w:hint="eastAsia" w:ascii="仿宋_GB2312" w:eastAsia="仿宋_GB2312"/>
          <w:sz w:val="32"/>
          <w:szCs w:val="32"/>
        </w:rPr>
        <w:t>年度一般公共预算项目支出全面开展绩效自评。</w:t>
      </w:r>
    </w:p>
    <w:p>
      <w:pPr>
        <w:keepNext w:val="0"/>
        <w:keepLines w:val="0"/>
        <w:widowControl w:val="0"/>
        <w:suppressLineNumbers w:val="0"/>
        <w:spacing w:before="0" w:beforeAutospacing="0" w:after="0" w:afterAutospacing="0" w:line="288" w:lineRule="auto"/>
        <w:ind w:left="0" w:right="0" w:firstLine="640" w:firstLineChars="200"/>
        <w:jc w:val="both"/>
        <w:rPr>
          <w:rFonts w:hint="eastAsia" w:ascii="仿宋_GB2312" w:hAnsi="仿宋_GB2312" w:eastAsia="仿宋_GB2312" w:cs="仿宋_GB2312"/>
          <w:b/>
          <w:kern w:val="2"/>
          <w:sz w:val="32"/>
          <w:szCs w:val="32"/>
          <w:lang w:val="en-US" w:eastAsia="zh-CN" w:bidi="ar"/>
        </w:rPr>
      </w:pPr>
      <w:r>
        <w:rPr>
          <w:rFonts w:hint="eastAsia" w:ascii="仿宋_GB2312" w:hAnsi="仿宋_GB2312" w:eastAsia="仿宋_GB2312" w:cs="仿宋_GB2312"/>
          <w:kern w:val="2"/>
          <w:sz w:val="32"/>
          <w:szCs w:val="32"/>
          <w:lang w:val="en-US" w:eastAsia="zh-CN" w:bidi="ar"/>
        </w:rPr>
        <w:t>2016年收入决算2231.83万元，较去年同期1892.52万元增长了17.9%，其中：财政拨款收入1403.77万元，事业收入828.05万元， 2016年收入决算增长主要原因是业务收入大幅增长及财政补助收入增加。2016年支出决算2169.10万元，较2015年支出决算1783.89万元，增长21.59%，</w:t>
      </w:r>
      <w:r>
        <w:rPr>
          <w:rFonts w:hint="eastAsia" w:ascii="仿宋_GB2312" w:hAnsi="仿宋_GB2312" w:eastAsia="仿宋_GB2312" w:cs="仿宋_GB2312"/>
          <w:kern w:val="2"/>
          <w:sz w:val="32"/>
          <w:szCs w:val="32"/>
          <w:lang w:val="zh-CN" w:eastAsia="zh-CN" w:bidi="ar"/>
        </w:rPr>
        <w:t>主要原因是人员支出增加，中医部改造及中医医疗设备投入增加</w:t>
      </w:r>
      <w:r>
        <w:rPr>
          <w:rFonts w:hint="eastAsia" w:ascii="仿宋_GB2312" w:hAnsi="仿宋_GB2312" w:eastAsia="仿宋_GB2312" w:cs="仿宋_GB2312"/>
          <w:kern w:val="2"/>
          <w:sz w:val="32"/>
          <w:szCs w:val="32"/>
          <w:lang w:val="en-US" w:eastAsia="zh-CN" w:bidi="ar"/>
        </w:rPr>
        <w:t>。</w:t>
      </w:r>
    </w:p>
    <w:p>
      <w:pPr>
        <w:spacing w:line="288" w:lineRule="auto"/>
        <w:ind w:firstLine="643" w:firstLineChars="200"/>
        <w:rPr>
          <w:rFonts w:hint="eastAsia" w:ascii="仿宋_GB2312" w:eastAsia="仿宋_GB2312"/>
          <w:b/>
          <w:sz w:val="32"/>
          <w:szCs w:val="32"/>
        </w:rPr>
      </w:pP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第四部分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1"/>
        </w:numPr>
        <w:spacing w:line="288" w:lineRule="auto"/>
        <w:ind w:firstLine="630" w:firstLineChars="196"/>
        <w:rPr>
          <w:rFonts w:hint="eastAsia"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jc w:val="right"/>
        <w:rPr>
          <w:rFonts w:ascii="方正小标宋简体" w:eastAsia="方正小标宋简体"/>
          <w:sz w:val="44"/>
          <w:szCs w:val="44"/>
        </w:rPr>
      </w:pPr>
    </w:p>
    <w:p>
      <w:pPr>
        <w:rPr>
          <w:rFonts w:ascii="仿宋_GB2312" w:eastAsia="仿宋_GB2312"/>
          <w:sz w:val="32"/>
          <w:szCs w:val="32"/>
        </w:rPr>
      </w:pPr>
      <w:bookmarkStart w:id="0" w:name="_GoBack"/>
      <w:bookmarkEnd w:id="0"/>
    </w:p>
    <w:p>
      <w:pPr>
        <w:rPr>
          <w:rFonts w:ascii="仿宋_GB2312" w:eastAsia="仿宋_GB2312"/>
          <w:sz w:val="32"/>
          <w:szCs w:val="32"/>
        </w:rPr>
      </w:pPr>
    </w:p>
    <w:p>
      <w:pPr>
        <w:rPr>
          <w:rFonts w:ascii="仿宋_GB2312" w:eastAsia="仿宋_GB2312"/>
          <w:sz w:val="32"/>
          <w:szCs w:val="32"/>
        </w:rPr>
      </w:pPr>
    </w:p>
    <w:p/>
    <w:p/>
    <w:sectPr>
      <w:footerReference r:id="rId3" w:type="default"/>
      <w:footerReference r:id="rId4" w:type="even"/>
      <w:pgSz w:w="11906" w:h="16838"/>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4"/>
      </w:rPr>
    </w:pP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4"/>
      </w:rPr>
    </w:pPr>
    <w:r>
      <w:fldChar w:fldCharType="begin"/>
    </w:r>
    <w:r>
      <w:rPr>
        <w:rStyle w:val="4"/>
      </w:rPr>
      <w:instrText xml:space="preserve">PAGE  </w:instrText>
    </w:r>
    <w:r>
      <w:fldChar w:fldCharType="separate"/>
    </w:r>
    <w:r>
      <w:rPr>
        <w:rStyle w:val="4"/>
      </w:rPr>
      <w:t>1</w: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B0825"/>
    <w:rsid w:val="10AA4BA4"/>
    <w:rsid w:val="2D4C6767"/>
    <w:rsid w:val="2EC22607"/>
    <w:rsid w:val="33362A06"/>
    <w:rsid w:val="3A4B0825"/>
    <w:rsid w:val="4C0A398C"/>
    <w:rsid w:val="5AF07E91"/>
    <w:rsid w:val="6D535020"/>
    <w:rsid w:val="6FD83F49"/>
    <w:rsid w:val="6FE2594C"/>
    <w:rsid w:val="74D77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2018-04-02T02:14:00Z</dcterms:created>
  <dc:creator>Administrator</dc:creator>
  <cp:lastModifiedBy>Administrator</cp:lastModifiedBy>
  <dcterms:modified xsi:type="dcterms:W3CDTF">2018-04-03T00:48:54Z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