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2017年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罗定市朗塘中学</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both"/>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罗定市朗塘中学</w:t>
      </w:r>
      <w:r>
        <w:rPr>
          <w:rFonts w:hint="eastAsia" w:ascii="黑体" w:hAnsi="黑体" w:eastAsia="黑体" w:cs="黑体"/>
          <w:sz w:val="32"/>
          <w:szCs w:val="32"/>
          <w:highlight w:val="none"/>
          <w:lang w:val="en-US" w:eastAsia="zh-CN"/>
        </w:rPr>
        <w:t>（部门名称）</w:t>
      </w:r>
      <w:r>
        <w:rPr>
          <w:rFonts w:hint="eastAsia" w:ascii="黑体" w:hAnsi="黑体" w:eastAsia="黑体" w:cs="黑体"/>
          <w:sz w:val="32"/>
          <w:szCs w:val="32"/>
          <w:lang w:val="en-US" w:eastAsia="zh-CN"/>
        </w:rPr>
        <w:t>概况</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1"/>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第一部分    罗定市朗塘中学概况</w:t>
      </w:r>
    </w:p>
    <w:p>
      <w:pPr>
        <w:jc w:val="both"/>
        <w:rPr>
          <w:rFonts w:hint="eastAsia" w:ascii="黑体" w:hAnsi="黑体" w:eastAsia="黑体" w:cs="黑体"/>
          <w:sz w:val="44"/>
          <w:szCs w:val="44"/>
          <w:lang w:val="en-US" w:eastAsia="zh-CN"/>
        </w:rPr>
      </w:pPr>
    </w:p>
    <w:p>
      <w:pPr>
        <w:numPr>
          <w:ilvl w:val="0"/>
          <w:numId w:val="2"/>
        </w:numPr>
        <w:ind w:firstLine="640"/>
        <w:rPr>
          <w:rFonts w:ascii="黑体" w:hAnsi="黑体" w:eastAsia="黑体" w:cs="Times New Roman"/>
          <w:sz w:val="32"/>
          <w:szCs w:val="32"/>
        </w:rPr>
      </w:pPr>
      <w:r>
        <w:rPr>
          <w:rFonts w:hint="eastAsia" w:ascii="黑体" w:hAnsi="黑体" w:eastAsia="黑体" w:cs="黑体"/>
          <w:sz w:val="32"/>
          <w:szCs w:val="32"/>
        </w:rPr>
        <w:t>主要职责</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本单位机构设置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个，独立核算机构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个，属事业单位人员编制，财政全额拨款，用于人员、公务、业务等开支。本单位职能是实施</w:t>
      </w:r>
      <w:r>
        <w:rPr>
          <w:rFonts w:hint="eastAsia" w:ascii="仿宋_GB2312" w:hAnsi="仿宋_GB2312" w:eastAsia="仿宋_GB2312" w:cs="仿宋_GB2312"/>
          <w:sz w:val="32"/>
          <w:szCs w:val="32"/>
          <w:lang w:eastAsia="zh-CN"/>
        </w:rPr>
        <w:t>初中</w:t>
      </w:r>
      <w:r>
        <w:rPr>
          <w:rFonts w:hint="eastAsia" w:ascii="仿宋_GB2312" w:hAnsi="仿宋_GB2312" w:eastAsia="仿宋_GB2312" w:cs="仿宋_GB2312"/>
          <w:sz w:val="32"/>
          <w:szCs w:val="32"/>
        </w:rPr>
        <w:t>义务教育，促进基础教育发展，保障学校日常经费正常运作。</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本单位编制人数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119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人，其中：行政编制　</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　人，事业编制　</w:t>
      </w:r>
      <w:r>
        <w:rPr>
          <w:rFonts w:hint="eastAsia" w:ascii="仿宋_GB2312" w:hAnsi="仿宋_GB2312" w:eastAsia="仿宋_GB2312" w:cs="仿宋_GB2312"/>
          <w:sz w:val="32"/>
          <w:szCs w:val="32"/>
          <w:lang w:val="en-US" w:eastAsia="zh-CN"/>
        </w:rPr>
        <w:t>119</w:t>
      </w:r>
      <w:r>
        <w:rPr>
          <w:rFonts w:hint="eastAsia" w:ascii="仿宋_GB2312" w:hAnsi="仿宋_GB2312" w:eastAsia="仿宋_GB2312" w:cs="仿宋_GB2312"/>
          <w:sz w:val="32"/>
          <w:szCs w:val="32"/>
        </w:rPr>
        <w:t>人，工勤人员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127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人，其中：在职</w:t>
      </w: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12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人，离退休</w:t>
      </w:r>
      <w:r>
        <w:rPr>
          <w:rFonts w:hint="eastAsia" w:ascii="仿宋_GB2312" w:hAnsi="仿宋_GB2312" w:eastAsia="仿宋_GB2312" w:cs="仿宋_GB2312"/>
          <w:sz w:val="32"/>
          <w:szCs w:val="32"/>
          <w:lang w:val="en-US" w:eastAsia="zh-CN"/>
        </w:rPr>
        <w:t>15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人，其他人员</w:t>
      </w:r>
      <w:r>
        <w:rPr>
          <w:rFonts w:ascii="仿宋_GB2312" w:hAnsi="仿宋_GB2312" w:eastAsia="仿宋_GB2312" w:cs="仿宋_GB2312"/>
          <w:sz w:val="32"/>
          <w:szCs w:val="32"/>
        </w:rPr>
        <w:t xml:space="preserve"> 0 </w:t>
      </w:r>
      <w:r>
        <w:rPr>
          <w:rFonts w:hint="eastAsia" w:ascii="仿宋_GB2312" w:hAnsi="仿宋_GB2312" w:eastAsia="仿宋_GB2312" w:cs="仿宋_GB2312"/>
          <w:sz w:val="32"/>
          <w:szCs w:val="32"/>
        </w:rPr>
        <w:t>人。遗属人数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纳入统发工资人数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人，其中：在职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112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人，离退休</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非统发工资人数</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人，其中：在职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人，离退休</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人，其他人员</w:t>
      </w:r>
      <w:r>
        <w:rPr>
          <w:rFonts w:ascii="仿宋_GB2312" w:hAnsi="仿宋_GB2312" w:eastAsia="仿宋_GB2312" w:cs="仿宋_GB2312"/>
          <w:sz w:val="32"/>
          <w:szCs w:val="32"/>
        </w:rPr>
        <w:t xml:space="preserve"> 0  </w:t>
      </w:r>
      <w:r>
        <w:rPr>
          <w:rFonts w:hint="eastAsia" w:ascii="仿宋_GB2312" w:hAnsi="仿宋_GB2312" w:eastAsia="仿宋_GB2312" w:cs="仿宋_GB2312"/>
          <w:sz w:val="32"/>
          <w:szCs w:val="32"/>
        </w:rPr>
        <w:t>人。</w:t>
      </w:r>
    </w:p>
    <w:p>
      <w:pPr>
        <w:ind w:firstLine="640" w:firstLineChars="200"/>
        <w:rPr>
          <w:rFonts w:ascii="黑体" w:hAnsi="黑体" w:eastAsia="黑体" w:cs="Times New Roman"/>
          <w:sz w:val="44"/>
          <w:szCs w:val="44"/>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实有在校</w:t>
      </w:r>
      <w:r>
        <w:rPr>
          <w:rFonts w:hint="eastAsia" w:ascii="仿宋_GB2312" w:hAnsi="仿宋_GB2312" w:eastAsia="仿宋_GB2312" w:cs="仿宋_GB2312"/>
          <w:sz w:val="32"/>
          <w:szCs w:val="32"/>
          <w:lang w:eastAsia="zh-CN"/>
        </w:rPr>
        <w:t>初中</w:t>
      </w:r>
      <w:r>
        <w:rPr>
          <w:rFonts w:hint="eastAsia" w:ascii="仿宋_GB2312" w:hAnsi="仿宋_GB2312" w:eastAsia="仿宋_GB2312" w:cs="仿宋_GB2312"/>
          <w:sz w:val="32"/>
          <w:szCs w:val="32"/>
        </w:rPr>
        <w:t>学生人数</w:t>
      </w:r>
      <w:r>
        <w:rPr>
          <w:rFonts w:hint="eastAsia" w:ascii="仿宋_GB2312" w:hAnsi="仿宋_GB2312" w:eastAsia="仿宋_GB2312" w:cs="仿宋_GB2312"/>
          <w:sz w:val="32"/>
          <w:szCs w:val="32"/>
          <w:lang w:val="en-US" w:eastAsia="zh-CN"/>
        </w:rPr>
        <w:t>1529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2017年部门预算表</w:t>
      </w:r>
    </w:p>
    <w:tbl>
      <w:tblPr>
        <w:tblStyle w:val="3"/>
        <w:tblpPr w:leftFromText="180" w:rightFromText="180" w:vertAnchor="text" w:horzAnchor="page" w:tblpX="662" w:tblpY="184"/>
        <w:tblOverlap w:val="never"/>
        <w:tblW w:w="105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40"/>
        <w:gridCol w:w="3140"/>
        <w:gridCol w:w="2663"/>
        <w:gridCol w:w="1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589" w:type="dxa"/>
            <w:gridSpan w:val="4"/>
            <w:shd w:val="clear" w:color="auto" w:fill="FFFFFF"/>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8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280"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罗定市朗塘中学   </w:t>
            </w:r>
          </w:p>
        </w:tc>
        <w:tc>
          <w:tcPr>
            <w:tcW w:w="4309"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30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1118</w:t>
            </w: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1118</w:t>
            </w:r>
          </w:p>
        </w:tc>
        <w:tc>
          <w:tcPr>
            <w:tcW w:w="2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10589"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ind w:firstLine="640" w:firstLineChars="200"/>
        <w:jc w:val="left"/>
        <w:rPr>
          <w:rFonts w:hint="eastAsia" w:ascii="楷体_GB2312" w:hAnsi="楷体_GB2312" w:eastAsia="楷体_GB2312" w:cs="楷体_GB2312"/>
          <w:sz w:val="32"/>
          <w:szCs w:val="32"/>
          <w:highlight w:val="lightGray"/>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both"/>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tbl>
      <w:tblPr>
        <w:tblStyle w:val="3"/>
        <w:tblW w:w="80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90"/>
        <w:gridCol w:w="2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084"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08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299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0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一般公共预算拨款</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基金预算拨款</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教育收费</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其他财政收入拨款</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事业收入</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事业单位经营收入</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其他收入</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9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1118</w:t>
            </w:r>
          </w:p>
        </w:tc>
      </w:tr>
    </w:tbl>
    <w:p>
      <w:pPr>
        <w:jc w:val="both"/>
        <w:sectPr>
          <w:pgSz w:w="11906" w:h="16838"/>
          <w:pgMar w:top="1440" w:right="1800" w:bottom="1440" w:left="1800" w:header="851" w:footer="992" w:gutter="0"/>
          <w:cols w:space="425" w:num="1"/>
          <w:docGrid w:type="lines" w:linePitch="312" w:charSpace="0"/>
        </w:sectPr>
      </w:pPr>
    </w:p>
    <w:tbl>
      <w:tblPr>
        <w:tblStyle w:val="3"/>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66"/>
        <w:gridCol w:w="3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904"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90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3138"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7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工资福利支出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一般商品和服务支出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对个人和家庭的补助</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其他资本性支出等</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color w:val="000000"/>
                <w:sz w:val="24"/>
                <w:szCs w:val="24"/>
                <w:u w:val="none"/>
              </w:rPr>
            </w:pP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日常运转类项目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政府购买服务类项目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科技研发类项目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基本建设类项目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补助企事业类项目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信息化运维类项目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专项业务类项目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因公出国（境）类项目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信息系统建设类项目</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31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1118</w:t>
            </w:r>
          </w:p>
        </w:tc>
      </w:tr>
    </w:tbl>
    <w:p>
      <w:pPr>
        <w:jc w:val="both"/>
        <w:sectPr>
          <w:pgSz w:w="11906" w:h="16838"/>
          <w:pgMar w:top="1440" w:right="1800" w:bottom="1440" w:left="1800" w:header="851" w:footer="992" w:gutter="0"/>
          <w:cols w:space="425" w:num="1"/>
          <w:docGrid w:type="lines" w:linePitch="312" w:charSpace="0"/>
        </w:sectPr>
      </w:pPr>
    </w:p>
    <w:tbl>
      <w:tblPr>
        <w:tblStyle w:val="3"/>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0"/>
        <w:gridCol w:w="2340"/>
        <w:gridCol w:w="234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trPr>
        <w:tc>
          <w:tcPr>
            <w:tcW w:w="9360"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936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2" w:hRule="atLeast"/>
        </w:trPr>
        <w:tc>
          <w:tcPr>
            <w:tcW w:w="4680"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罗定市朗塘中学   </w:t>
            </w:r>
          </w:p>
        </w:tc>
        <w:tc>
          <w:tcPr>
            <w:tcW w:w="2340" w:type="dxa"/>
            <w:shd w:val="clear" w:color="auto" w:fill="auto"/>
            <w:vAlign w:val="bottom"/>
          </w:tcPr>
          <w:p>
            <w:pPr>
              <w:rPr>
                <w:rFonts w:hint="eastAsia" w:ascii="宋体" w:hAnsi="宋体" w:eastAsia="宋体" w:cs="宋体"/>
                <w:i w:val="0"/>
                <w:color w:val="000000"/>
                <w:sz w:val="20"/>
                <w:szCs w:val="20"/>
                <w:u w:val="none"/>
              </w:rPr>
            </w:pPr>
          </w:p>
        </w:tc>
        <w:tc>
          <w:tcPr>
            <w:tcW w:w="2340"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2" w:hRule="atLeast"/>
        </w:trPr>
        <w:tc>
          <w:tcPr>
            <w:tcW w:w="46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2" w:hRule="atLeast"/>
        </w:trPr>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2"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2"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2"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2"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1118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1118</w:t>
            </w:r>
          </w:p>
        </w:tc>
      </w:tr>
    </w:tbl>
    <w:p>
      <w:pPr>
        <w:jc w:val="both"/>
      </w:pPr>
    </w:p>
    <w:p>
      <w:pPr>
        <w:jc w:val="both"/>
      </w:pPr>
    </w:p>
    <w:p>
      <w:pPr>
        <w:jc w:val="both"/>
      </w:pPr>
    </w:p>
    <w:p>
      <w:pPr>
        <w:jc w:val="both"/>
      </w:pPr>
    </w:p>
    <w:p>
      <w:pPr>
        <w:jc w:val="both"/>
      </w:pPr>
    </w:p>
    <w:tbl>
      <w:tblPr>
        <w:tblStyle w:val="3"/>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08"/>
        <w:gridCol w:w="1741"/>
        <w:gridCol w:w="866"/>
        <w:gridCol w:w="3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9379"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5" w:hRule="atLeast"/>
        </w:trPr>
        <w:tc>
          <w:tcPr>
            <w:tcW w:w="937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7" w:hRule="atLeast"/>
        </w:trPr>
        <w:tc>
          <w:tcPr>
            <w:tcW w:w="35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1741"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130"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8" w:hRule="atLeast"/>
        </w:trPr>
        <w:tc>
          <w:tcPr>
            <w:tcW w:w="3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3" w:hRule="atLeast"/>
        </w:trPr>
        <w:tc>
          <w:tcPr>
            <w:tcW w:w="3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1118</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[205]教育支出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[20502]普通教育</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[2050203]初中教育</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1075</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[208]社会保障和就业支出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[20805]行政事业单位离退休</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[2080502]事业单位离退休</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7" w:hRule="atLeast"/>
        </w:trPr>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bl>
    <w:p>
      <w:pPr>
        <w:jc w:val="both"/>
      </w:pPr>
    </w:p>
    <w:tbl>
      <w:tblPr>
        <w:tblStyle w:val="3"/>
        <w:tblW w:w="9639"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
        <w:gridCol w:w="3238"/>
        <w:gridCol w:w="482"/>
        <w:gridCol w:w="2721"/>
        <w:gridCol w:w="1198"/>
        <w:gridCol w:w="1581"/>
        <w:gridCol w:w="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199" w:type="dxa"/>
          <w:trHeight w:val="338" w:hRule="atLeast"/>
        </w:trPr>
        <w:tc>
          <w:tcPr>
            <w:tcW w:w="3238" w:type="dxa"/>
            <w:shd w:val="clear" w:color="auto" w:fill="auto"/>
            <w:vAlign w:val="bottom"/>
          </w:tcPr>
          <w:p>
            <w:pPr>
              <w:rPr>
                <w:rFonts w:hint="eastAsia" w:ascii="宋体" w:hAnsi="宋体" w:eastAsia="宋体" w:cs="宋体"/>
                <w:i w:val="0"/>
                <w:color w:val="000000"/>
                <w:sz w:val="20"/>
                <w:szCs w:val="20"/>
                <w:u w:val="none"/>
              </w:rPr>
            </w:pPr>
          </w:p>
        </w:tc>
        <w:tc>
          <w:tcPr>
            <w:tcW w:w="6202"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199" w:type="dxa"/>
          <w:trHeight w:val="695" w:hRule="atLeast"/>
        </w:trPr>
        <w:tc>
          <w:tcPr>
            <w:tcW w:w="9440"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199" w:type="dxa"/>
          <w:trHeight w:val="338" w:hRule="atLeast"/>
        </w:trPr>
        <w:tc>
          <w:tcPr>
            <w:tcW w:w="323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3203" w:type="dxa"/>
            <w:gridSpan w:val="2"/>
            <w:shd w:val="clear" w:color="auto" w:fill="auto"/>
            <w:vAlign w:val="center"/>
          </w:tcPr>
          <w:p>
            <w:pPr>
              <w:jc w:val="left"/>
              <w:rPr>
                <w:rFonts w:hint="eastAsia" w:ascii="宋体" w:hAnsi="宋体" w:eastAsia="宋体" w:cs="宋体"/>
                <w:i w:val="0"/>
                <w:color w:val="000000"/>
                <w:sz w:val="20"/>
                <w:szCs w:val="20"/>
                <w:u w:val="none"/>
              </w:rPr>
            </w:pPr>
          </w:p>
        </w:tc>
        <w:tc>
          <w:tcPr>
            <w:tcW w:w="299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720" w:hRule="atLeast"/>
        </w:trPr>
        <w:tc>
          <w:tcPr>
            <w:tcW w:w="39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Times New Roman"/>
                <w:b/>
                <w:bCs/>
                <w:color w:val="000000"/>
                <w:kern w:val="0"/>
                <w:sz w:val="24"/>
                <w:szCs w:val="24"/>
              </w:rPr>
            </w:pPr>
            <w:r>
              <w:rPr>
                <w:rFonts w:hint="eastAsia" w:ascii="仿宋" w:hAnsi="仿宋" w:eastAsia="仿宋" w:cs="仿宋"/>
                <w:b/>
                <w:bCs/>
                <w:color w:val="000000"/>
                <w:kern w:val="0"/>
                <w:sz w:val="24"/>
                <w:szCs w:val="24"/>
              </w:rPr>
              <w:t>政府预算支出经济分类</w:t>
            </w:r>
          </w:p>
        </w:tc>
        <w:tc>
          <w:tcPr>
            <w:tcW w:w="391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Times New Roman"/>
                <w:b/>
                <w:bCs/>
                <w:color w:val="000000"/>
                <w:kern w:val="0"/>
                <w:sz w:val="24"/>
                <w:szCs w:val="24"/>
              </w:rPr>
            </w:pPr>
            <w:r>
              <w:rPr>
                <w:rFonts w:hint="eastAsia" w:ascii="仿宋" w:hAnsi="仿宋" w:eastAsia="仿宋" w:cs="仿宋"/>
                <w:b/>
                <w:bCs/>
                <w:color w:val="000000"/>
                <w:kern w:val="0"/>
                <w:sz w:val="24"/>
                <w:szCs w:val="24"/>
              </w:rPr>
              <w:t>部门预算支出经济分类</w:t>
            </w:r>
          </w:p>
        </w:tc>
        <w:tc>
          <w:tcPr>
            <w:tcW w:w="15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Times New Roman"/>
                <w:b/>
                <w:bCs/>
                <w:color w:val="000000"/>
                <w:kern w:val="0"/>
                <w:sz w:val="24"/>
                <w:szCs w:val="24"/>
              </w:rPr>
            </w:pPr>
            <w:r>
              <w:rPr>
                <w:rFonts w:hint="eastAsia" w:ascii="仿宋" w:hAnsi="仿宋" w:eastAsia="仿宋" w:cs="仿宋"/>
                <w:b/>
                <w:bCs/>
                <w:color w:val="000000"/>
                <w:kern w:val="0"/>
                <w:sz w:val="24"/>
                <w:szCs w:val="24"/>
              </w:rPr>
              <w:t>2017年基本支出预算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402"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Times New Roman"/>
                <w:b/>
                <w:bCs/>
                <w:color w:val="000000"/>
                <w:kern w:val="0"/>
                <w:sz w:val="24"/>
                <w:szCs w:val="24"/>
              </w:rPr>
            </w:pPr>
            <w:r>
              <w:rPr>
                <w:rFonts w:hint="eastAsia" w:ascii="仿宋" w:hAnsi="仿宋" w:eastAsia="仿宋" w:cs="仿宋"/>
                <w:b/>
                <w:bCs/>
                <w:color w:val="000000"/>
                <w:kern w:val="0"/>
                <w:sz w:val="24"/>
                <w:szCs w:val="24"/>
              </w:rPr>
              <w:t>　</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Times New Roman"/>
                <w:b/>
                <w:bCs/>
                <w:color w:val="000000"/>
                <w:kern w:val="0"/>
                <w:sz w:val="24"/>
                <w:szCs w:val="24"/>
              </w:rPr>
            </w:pPr>
            <w:r>
              <w:rPr>
                <w:rFonts w:hint="eastAsia" w:ascii="仿宋" w:hAnsi="仿宋" w:eastAsia="仿宋" w:cs="仿宋"/>
                <w:b/>
                <w:bCs/>
                <w:color w:val="000000"/>
                <w:kern w:val="0"/>
                <w:sz w:val="24"/>
                <w:szCs w:val="24"/>
              </w:rPr>
              <w:t>合计</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黑体" w:hAnsi="宋体" w:eastAsia="黑体" w:cs="Times New Roman"/>
                <w:b/>
                <w:bCs/>
                <w:color w:val="000000"/>
                <w:kern w:val="0"/>
                <w:sz w:val="22"/>
                <w:szCs w:val="22"/>
                <w:lang w:eastAsia="zh-CN"/>
              </w:rPr>
            </w:pPr>
            <w:r>
              <w:rPr>
                <w:rFonts w:hint="eastAsia" w:ascii="仿宋" w:hAnsi="仿宋" w:eastAsia="仿宋" w:cs="仿宋"/>
                <w:b/>
                <w:bCs/>
                <w:color w:val="000000"/>
                <w:kern w:val="0"/>
                <w:sz w:val="24"/>
                <w:szCs w:val="24"/>
                <w:lang w:val="en-US" w:eastAsia="zh-CN"/>
              </w:rPr>
              <w:t>1118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[501]机关工资福利支出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[301]工资福利支出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[50101]工资奖金津补贴</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[30101]基本工资</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[50101]工资奖金津补贴</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[30102]津贴补贴</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[50101]工资奖金津补贴</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[30103]奖金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[50102]社会保障缴费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[30112]其他社会保障缴费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[50103]住房公积金</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[30113]住房公积金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[50199]其他工资福利支出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[30106]伙食补助费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[502]机关商品和服务支出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[302]商品和服务支出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[30201]办公费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[30202]印刷费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[30204]手续费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[30205]水费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[30206]电费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[30207]邮电费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[30209]物业管理费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[30211]差旅费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[30214]租赁费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[30228]工会经费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[30229]福利费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[50201]办公经费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[30239]其他交通费用</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[50202]会议费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[30215]会议费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[50203]培训费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[30216]培训费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[50205]委托业务费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[30203]咨询费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[50205]委托业务费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[30226]劳务费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[50205]委托业务费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[30227]委托业务费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[50206]公务接待费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[30217]公务接待费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[50207]因公出国（境）费用</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[30212]因公出国（境）费用</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[50208]公务用车运行维护费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[30231]公务用车运行维护费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[50209]维修（护）费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[30213]维修（护）费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[50299]其他商品和服务支出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[30299]其他商品和服务支出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[503]机关资本性支出（一）</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[310]资本性支出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[50306]设备购置</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[31002]办公设备购置</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[505]对事业单位经常性补助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[301]工资福利支出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eastAsia="zh-CN"/>
              </w:rPr>
            </w:pPr>
            <w:r>
              <w:rPr>
                <w:rFonts w:hint="eastAsia" w:ascii="仿宋" w:hAnsi="仿宋" w:eastAsia="仿宋" w:cs="仿宋"/>
                <w:kern w:val="0"/>
                <w:sz w:val="24"/>
                <w:szCs w:val="24"/>
                <w:lang w:val="en-US" w:eastAsia="zh-CN"/>
              </w:rPr>
              <w:t>777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[50501]工资福利支出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[30101]基本工资</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val="en-US" w:eastAsia="zh-CN"/>
              </w:rPr>
            </w:pPr>
            <w:r>
              <w:rPr>
                <w:rFonts w:hint="eastAsia" w:ascii="仿宋" w:hAnsi="仿宋" w:eastAsia="仿宋" w:cs="仿宋"/>
                <w:kern w:val="0"/>
                <w:sz w:val="24"/>
                <w:szCs w:val="24"/>
                <w:lang w:val="en-US" w:eastAsia="zh-CN"/>
              </w:rPr>
              <w:t>342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[50501]工资福利支出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[30102]津贴补贴</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val="en-US" w:eastAsia="zh-CN"/>
              </w:rPr>
            </w:pPr>
            <w:r>
              <w:rPr>
                <w:rFonts w:hint="eastAsia" w:ascii="仿宋" w:hAnsi="仿宋" w:eastAsia="仿宋" w:cs="仿宋"/>
                <w:kern w:val="0"/>
                <w:sz w:val="24"/>
                <w:szCs w:val="24"/>
                <w:lang w:val="en-US" w:eastAsia="zh-CN"/>
              </w:rPr>
              <w:t>301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[50501]工资福利支出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[30103]奖金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[50501]工资福利支出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[30107]绩效工资</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val="en-US" w:eastAsia="zh-CN"/>
              </w:rPr>
            </w:pPr>
            <w:r>
              <w:rPr>
                <w:rFonts w:hint="eastAsia" w:ascii="仿宋" w:hAnsi="仿宋" w:eastAsia="仿宋" w:cs="仿宋"/>
                <w:kern w:val="0"/>
                <w:sz w:val="24"/>
                <w:szCs w:val="24"/>
                <w:lang w:val="en-US" w:eastAsia="zh-CN"/>
              </w:rPr>
              <w:t>82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[50501]工资福利支出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[30113]住房公积金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val="en-US" w:eastAsia="zh-CN"/>
              </w:rPr>
            </w:pPr>
            <w:r>
              <w:rPr>
                <w:rFonts w:hint="eastAsia" w:ascii="仿宋" w:hAnsi="仿宋" w:eastAsia="仿宋" w:cs="仿宋"/>
                <w:kern w:val="0"/>
                <w:sz w:val="24"/>
                <w:szCs w:val="24"/>
                <w:lang w:val="en-US" w:eastAsia="zh-CN"/>
              </w:rPr>
              <w:t>52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[50501]工资福利支出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[30199]其他工资福利支出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[505]对事业单位经常性补助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[302]商品和服务支出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eastAsia="zh-CN"/>
              </w:rPr>
            </w:pPr>
            <w:r>
              <w:rPr>
                <w:rFonts w:hint="eastAsia" w:ascii="仿宋" w:hAnsi="仿宋" w:eastAsia="仿宋" w:cs="仿宋"/>
                <w:kern w:val="0"/>
                <w:sz w:val="24"/>
                <w:szCs w:val="24"/>
                <w:lang w:val="en-US" w:eastAsia="zh-CN"/>
              </w:rPr>
              <w:t>298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[30201]办公费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eastAsia="zh-CN"/>
              </w:rPr>
            </w:pPr>
            <w:r>
              <w:rPr>
                <w:rFonts w:hint="eastAsia" w:ascii="仿宋" w:hAnsi="仿宋" w:eastAsia="仿宋" w:cs="仿宋"/>
                <w:kern w:val="0"/>
                <w:sz w:val="24"/>
                <w:szCs w:val="24"/>
                <w:lang w:val="en-US" w:eastAsia="zh-CN"/>
              </w:rPr>
              <w:t>22.4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[30202]印刷费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60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[30204]手续费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0.2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[30205]水费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[30206]电费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12.6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[30207]邮电费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6.72</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[30209]物业管理费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[30211]差旅费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3.36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[30239]其他交通费用</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[30216]培训费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[30226]劳务费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[30217]公务接待费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2.24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[30212]因公出国（境）费用</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[30231]公务用车运行维护费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宋体"/>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4"/>
                <w:szCs w:val="24"/>
              </w:rPr>
            </w:pPr>
            <w:r>
              <w:rPr>
                <w:rFonts w:hint="eastAsia" w:ascii="仿宋" w:hAnsi="仿宋" w:eastAsia="仿宋" w:cs="仿宋"/>
                <w:color w:val="000000"/>
                <w:kern w:val="0"/>
                <w:sz w:val="24"/>
                <w:szCs w:val="24"/>
              </w:rPr>
              <w:t>[50502]商品和服务支出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[30213]维修（护）费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宋体" w:eastAsiaTheme="minorEastAsia"/>
                <w:kern w:val="0"/>
                <w:sz w:val="20"/>
                <w:szCs w:val="20"/>
                <w:lang w:val="en-US" w:eastAsia="zh-CN"/>
              </w:rPr>
            </w:pPr>
            <w:r>
              <w:rPr>
                <w:rFonts w:hint="eastAsia" w:ascii="仿宋" w:hAnsi="仿宋" w:eastAsia="仿宋" w:cs="仿宋"/>
                <w:kern w:val="0"/>
                <w:sz w:val="24"/>
                <w:szCs w:val="24"/>
                <w:lang w:val="en-US" w:eastAsia="zh-CN"/>
              </w:rPr>
              <w:t>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[50502]商品和服务支出</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[30299]其他商品和服务支出</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val="en-US" w:eastAsia="zh-CN"/>
              </w:rPr>
            </w:pPr>
            <w:r>
              <w:rPr>
                <w:rFonts w:hint="eastAsia" w:ascii="仿宋" w:hAnsi="仿宋" w:eastAsia="仿宋" w:cs="仿宋"/>
                <w:kern w:val="0"/>
                <w:sz w:val="24"/>
                <w:szCs w:val="24"/>
                <w:lang w:val="en-US" w:eastAsia="zh-CN"/>
              </w:rPr>
              <w:t>109.88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[509]对个人和家庭的补助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[303]对个人和家庭的补助</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eastAsia="zh-CN"/>
              </w:rPr>
            </w:pPr>
            <w:r>
              <w:rPr>
                <w:rFonts w:hint="eastAsia" w:ascii="仿宋" w:hAnsi="仿宋" w:eastAsia="仿宋" w:cs="仿宋"/>
                <w:kern w:val="0"/>
                <w:sz w:val="24"/>
                <w:szCs w:val="24"/>
                <w:lang w:val="en-US" w:eastAsia="zh-CN"/>
              </w:rPr>
              <w:t>43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[50901]社会福利和救助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[30304]抚恤金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[50901]社会福利和救助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[30305]生活补助</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[50901]社会福利和救助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[30307]医疗费补助</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[50901]社会福利和救助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[30309]奖励金</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[50905]离退休费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[30301]离休费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r>
              <w:rPr>
                <w:rFonts w:hint="eastAsia" w:ascii="仿宋" w:hAnsi="仿宋" w:eastAsia="仿宋" w:cs="仿宋"/>
                <w:kern w:val="0"/>
                <w:sz w:val="24"/>
                <w:szCs w:val="24"/>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[50905]离退休费</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[30302]退休费</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cs="Times New Roman" w:eastAsiaTheme="minorEastAsia"/>
                <w:kern w:val="0"/>
                <w:sz w:val="20"/>
                <w:szCs w:val="20"/>
                <w:lang w:val="en-US" w:eastAsia="zh-CN"/>
              </w:rPr>
            </w:pPr>
            <w:r>
              <w:rPr>
                <w:rFonts w:hint="eastAsia" w:ascii="仿宋" w:hAnsi="仿宋" w:eastAsia="仿宋" w:cs="仿宋"/>
                <w:kern w:val="0"/>
                <w:sz w:val="24"/>
                <w:szCs w:val="24"/>
                <w:lang w:val="en-US" w:eastAsia="zh-CN"/>
              </w:rPr>
              <w:t>43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gridAfter w:val="1"/>
          <w:wAfter w:w="220" w:type="dxa"/>
          <w:trHeight w:val="360" w:hRule="atLeast"/>
        </w:trPr>
        <w:tc>
          <w:tcPr>
            <w:tcW w:w="39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[50999]其他对个人和家庭的补助</w:t>
            </w:r>
          </w:p>
        </w:tc>
        <w:tc>
          <w:tcPr>
            <w:tcW w:w="3919" w:type="dxa"/>
            <w:gridSpan w:val="2"/>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24"/>
                <w:szCs w:val="24"/>
              </w:rPr>
            </w:pPr>
            <w:r>
              <w:rPr>
                <w:rFonts w:hint="eastAsia" w:ascii="仿宋" w:hAnsi="仿宋" w:eastAsia="仿宋" w:cs="仿宋"/>
                <w:color w:val="000000"/>
                <w:kern w:val="0"/>
                <w:sz w:val="24"/>
                <w:szCs w:val="24"/>
              </w:rPr>
              <w:t xml:space="preserve">  [30399]其他对个人和家庭的补助</w:t>
            </w:r>
          </w:p>
        </w:tc>
        <w:tc>
          <w:tcPr>
            <w:tcW w:w="1581"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kern w:val="0"/>
                <w:sz w:val="20"/>
                <w:szCs w:val="20"/>
              </w:rPr>
            </w:pPr>
          </w:p>
        </w:tc>
      </w:tr>
    </w:tbl>
    <w:p>
      <w:pPr>
        <w:jc w:val="both"/>
      </w:pPr>
    </w:p>
    <w:p>
      <w:pPr>
        <w:jc w:val="both"/>
      </w:pPr>
    </w:p>
    <w:p>
      <w:pPr>
        <w:jc w:val="both"/>
      </w:pPr>
    </w:p>
    <w:tbl>
      <w:tblPr>
        <w:tblStyle w:val="3"/>
        <w:tblpPr w:leftFromText="180" w:rightFromText="180" w:vertAnchor="text" w:horzAnchor="page" w:tblpX="1121" w:tblpY="379"/>
        <w:tblOverlap w:val="never"/>
        <w:tblW w:w="10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83"/>
        <w:gridCol w:w="273"/>
        <w:gridCol w:w="3945"/>
        <w:gridCol w:w="2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5" w:hRule="atLeast"/>
        </w:trPr>
        <w:tc>
          <w:tcPr>
            <w:tcW w:w="3483" w:type="dxa"/>
            <w:shd w:val="clear" w:color="auto" w:fill="auto"/>
            <w:vAlign w:val="bottom"/>
          </w:tcPr>
          <w:p>
            <w:pPr>
              <w:rPr>
                <w:rFonts w:hint="eastAsia" w:ascii="宋体" w:hAnsi="宋体" w:eastAsia="宋体" w:cs="宋体"/>
                <w:i w:val="0"/>
                <w:color w:val="000000"/>
                <w:sz w:val="20"/>
                <w:szCs w:val="20"/>
                <w:u w:val="none"/>
              </w:rPr>
            </w:pPr>
          </w:p>
        </w:tc>
        <w:tc>
          <w:tcPr>
            <w:tcW w:w="6697" w:type="dxa"/>
            <w:gridSpan w:val="3"/>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1" w:hRule="atLeast"/>
        </w:trPr>
        <w:tc>
          <w:tcPr>
            <w:tcW w:w="1018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5" w:hRule="atLeast"/>
        </w:trPr>
        <w:tc>
          <w:tcPr>
            <w:tcW w:w="3756"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3945" w:type="dxa"/>
            <w:shd w:val="clear" w:color="auto" w:fill="auto"/>
            <w:vAlign w:val="center"/>
          </w:tcPr>
          <w:p>
            <w:pPr>
              <w:jc w:val="left"/>
              <w:rPr>
                <w:rFonts w:hint="eastAsia" w:ascii="宋体" w:hAnsi="宋体" w:eastAsia="宋体" w:cs="宋体"/>
                <w:i w:val="0"/>
                <w:color w:val="000000"/>
                <w:sz w:val="20"/>
                <w:szCs w:val="20"/>
                <w:u w:val="none"/>
              </w:rPr>
            </w:pPr>
          </w:p>
        </w:tc>
        <w:tc>
          <w:tcPr>
            <w:tcW w:w="247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[50301]房屋建筑物购建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[31001]房屋建筑物购置</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[50303]公务用车购置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[31013]公务用车购置</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[31003]专用设备购置</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[31007]信息网络及软件购置更新</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[50307]大型修缮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[31006]大型修缮</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[50399]其他资本性支出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[31099]其他资本性支出</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[509]对事业单位经常性补助</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5" w:hRule="atLeast"/>
        </w:trPr>
        <w:tc>
          <w:tcPr>
            <w:tcW w:w="3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p>
    <w:p>
      <w:pPr>
        <w:jc w:val="both"/>
      </w:pPr>
    </w:p>
    <w:p>
      <w:pPr>
        <w:jc w:val="both"/>
      </w:pPr>
    </w:p>
    <w:tbl>
      <w:tblPr>
        <w:tblStyle w:val="3"/>
        <w:tblpPr w:leftFromText="180" w:rightFromText="180" w:vertAnchor="text" w:horzAnchor="page" w:tblpX="701" w:tblpY="60"/>
        <w:tblOverlap w:val="never"/>
        <w:tblW w:w="10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44"/>
        <w:gridCol w:w="5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5444" w:type="dxa"/>
            <w:shd w:val="clear" w:color="auto" w:fill="auto"/>
            <w:vAlign w:val="center"/>
          </w:tcPr>
          <w:p>
            <w:pPr>
              <w:rPr>
                <w:rFonts w:hint="eastAsia" w:ascii="仿宋" w:hAnsi="仿宋" w:eastAsia="仿宋" w:cs="仿宋"/>
                <w:i w:val="0"/>
                <w:color w:val="000000"/>
                <w:sz w:val="24"/>
                <w:szCs w:val="24"/>
                <w:u w:val="none"/>
              </w:rPr>
            </w:pPr>
          </w:p>
        </w:tc>
        <w:tc>
          <w:tcPr>
            <w:tcW w:w="5055"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499" w:type="dxa"/>
            <w:gridSpan w:val="2"/>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44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505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行政经费</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其中：（一）因公出国（境）支出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（二）公务用车购置及运行维护支出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1.公务用车购置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（三）公务接待费支出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544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499" w:type="dxa"/>
            <w:gridSpan w:val="2"/>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1049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5" w:hRule="atLeast"/>
        </w:trPr>
        <w:tc>
          <w:tcPr>
            <w:tcW w:w="1049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tbl>
      <w:tblPr>
        <w:tblStyle w:val="3"/>
        <w:tblpPr w:leftFromText="180" w:rightFromText="180" w:vertAnchor="text" w:horzAnchor="page" w:tblpX="1142" w:tblpY="-6032"/>
        <w:tblOverlap w:val="never"/>
        <w:tblW w:w="10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85"/>
        <w:gridCol w:w="1884"/>
        <w:gridCol w:w="982"/>
        <w:gridCol w:w="2180"/>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4" w:hRule="atLeast"/>
        </w:trPr>
        <w:tc>
          <w:tcPr>
            <w:tcW w:w="10000" w:type="dxa"/>
            <w:gridSpan w:val="5"/>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2" w:hRule="atLeast"/>
        </w:trPr>
        <w:tc>
          <w:tcPr>
            <w:tcW w:w="783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2017年政府性基金预算支出情况表</w:t>
            </w:r>
          </w:p>
        </w:tc>
        <w:tc>
          <w:tcPr>
            <w:tcW w:w="2169" w:type="dxa"/>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4" w:hRule="atLeast"/>
        </w:trPr>
        <w:tc>
          <w:tcPr>
            <w:tcW w:w="278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1884"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82"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80"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2169"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6" w:hRule="atLeast"/>
        </w:trPr>
        <w:tc>
          <w:tcPr>
            <w:tcW w:w="2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5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1" w:hRule="atLeast"/>
        </w:trPr>
        <w:tc>
          <w:tcPr>
            <w:tcW w:w="2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2" w:hRule="atLeast"/>
        </w:trPr>
        <w:tc>
          <w:tcPr>
            <w:tcW w:w="7831"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注：1.如该部门无政府性基金安排的支出，则本表为空。同时按照财政部有关要求，以空表呈报省人代会审议。</w:t>
            </w:r>
          </w:p>
        </w:tc>
        <w:tc>
          <w:tcPr>
            <w:tcW w:w="2169" w:type="dxa"/>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pPr w:leftFromText="180" w:rightFromText="180" w:vertAnchor="text" w:horzAnchor="page" w:tblpX="992" w:tblpY="59"/>
        <w:tblOverlap w:val="never"/>
        <w:tblW w:w="9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90"/>
        <w:gridCol w:w="220"/>
        <w:gridCol w:w="1017"/>
        <w:gridCol w:w="1375"/>
        <w:gridCol w:w="886"/>
        <w:gridCol w:w="1335"/>
        <w:gridCol w:w="847"/>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390" w:type="dxa"/>
            <w:shd w:val="clear" w:color="auto" w:fill="auto"/>
            <w:vAlign w:val="bottom"/>
          </w:tcPr>
          <w:p>
            <w:pPr>
              <w:rPr>
                <w:rFonts w:hint="eastAsia" w:ascii="宋体" w:hAnsi="宋体" w:eastAsia="宋体" w:cs="宋体"/>
                <w:i w:val="0"/>
                <w:color w:val="000000"/>
                <w:sz w:val="20"/>
                <w:szCs w:val="20"/>
                <w:u w:val="none"/>
              </w:rPr>
            </w:pPr>
          </w:p>
        </w:tc>
        <w:tc>
          <w:tcPr>
            <w:tcW w:w="1237" w:type="dxa"/>
            <w:gridSpan w:val="2"/>
            <w:shd w:val="clear" w:color="auto" w:fill="auto"/>
            <w:vAlign w:val="bottom"/>
          </w:tcPr>
          <w:p>
            <w:pPr>
              <w:rPr>
                <w:rFonts w:hint="eastAsia" w:ascii="宋体" w:hAnsi="宋体" w:eastAsia="宋体" w:cs="宋体"/>
                <w:i w:val="0"/>
                <w:color w:val="000000"/>
                <w:sz w:val="20"/>
                <w:szCs w:val="20"/>
                <w:u w:val="none"/>
              </w:rPr>
            </w:pPr>
          </w:p>
        </w:tc>
        <w:tc>
          <w:tcPr>
            <w:tcW w:w="1375" w:type="dxa"/>
            <w:shd w:val="clear" w:color="auto" w:fill="auto"/>
            <w:vAlign w:val="bottom"/>
          </w:tcPr>
          <w:p>
            <w:pPr>
              <w:rPr>
                <w:rFonts w:hint="eastAsia" w:ascii="宋体" w:hAnsi="宋体" w:eastAsia="宋体" w:cs="宋体"/>
                <w:i w:val="0"/>
                <w:color w:val="000000"/>
                <w:sz w:val="20"/>
                <w:szCs w:val="20"/>
                <w:u w:val="none"/>
              </w:rPr>
            </w:pPr>
          </w:p>
        </w:tc>
        <w:tc>
          <w:tcPr>
            <w:tcW w:w="886" w:type="dxa"/>
            <w:shd w:val="clear" w:color="auto" w:fill="auto"/>
            <w:vAlign w:val="bottom"/>
          </w:tcPr>
          <w:p>
            <w:pPr>
              <w:rPr>
                <w:rFonts w:hint="eastAsia" w:ascii="宋体" w:hAnsi="宋体" w:eastAsia="宋体" w:cs="宋体"/>
                <w:i w:val="0"/>
                <w:color w:val="000000"/>
                <w:sz w:val="20"/>
                <w:szCs w:val="20"/>
                <w:u w:val="none"/>
              </w:rPr>
            </w:pPr>
          </w:p>
        </w:tc>
        <w:tc>
          <w:tcPr>
            <w:tcW w:w="1335" w:type="dxa"/>
            <w:shd w:val="clear" w:color="auto" w:fill="auto"/>
            <w:vAlign w:val="bottom"/>
          </w:tcPr>
          <w:p>
            <w:pPr>
              <w:rPr>
                <w:rFonts w:hint="eastAsia" w:ascii="宋体" w:hAnsi="宋体" w:eastAsia="宋体" w:cs="宋体"/>
                <w:i w:val="0"/>
                <w:color w:val="000000"/>
                <w:sz w:val="20"/>
                <w:szCs w:val="20"/>
                <w:u w:val="none"/>
              </w:rPr>
            </w:pPr>
          </w:p>
        </w:tc>
        <w:tc>
          <w:tcPr>
            <w:tcW w:w="847" w:type="dxa"/>
            <w:shd w:val="clear" w:color="auto" w:fill="auto"/>
            <w:vAlign w:val="bottom"/>
          </w:tcPr>
          <w:p>
            <w:pPr>
              <w:rPr>
                <w:rFonts w:hint="eastAsia" w:ascii="宋体" w:hAnsi="宋体" w:eastAsia="宋体" w:cs="宋体"/>
                <w:i w:val="0"/>
                <w:color w:val="000000"/>
                <w:sz w:val="20"/>
                <w:szCs w:val="20"/>
                <w:u w:val="none"/>
              </w:rPr>
            </w:pPr>
          </w:p>
        </w:tc>
        <w:tc>
          <w:tcPr>
            <w:tcW w:w="190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9971"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2017年部门预算基本支出预算表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2610" w:type="dxa"/>
            <w:gridSpan w:val="2"/>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1017" w:type="dxa"/>
            <w:shd w:val="clear" w:color="auto" w:fill="auto"/>
            <w:vAlign w:val="bottom"/>
          </w:tcPr>
          <w:p>
            <w:pPr>
              <w:rPr>
                <w:rFonts w:hint="eastAsia" w:ascii="宋体" w:hAnsi="宋体" w:eastAsia="宋体" w:cs="宋体"/>
                <w:i w:val="0"/>
                <w:color w:val="000000"/>
                <w:sz w:val="24"/>
                <w:szCs w:val="24"/>
                <w:u w:val="none"/>
              </w:rPr>
            </w:pPr>
          </w:p>
        </w:tc>
        <w:tc>
          <w:tcPr>
            <w:tcW w:w="1375" w:type="dxa"/>
            <w:shd w:val="clear" w:color="auto" w:fill="auto"/>
            <w:vAlign w:val="bottom"/>
          </w:tcPr>
          <w:p>
            <w:pPr>
              <w:rPr>
                <w:rFonts w:hint="eastAsia" w:ascii="宋体" w:hAnsi="宋体" w:eastAsia="宋体" w:cs="宋体"/>
                <w:i w:val="0"/>
                <w:color w:val="000000"/>
                <w:sz w:val="24"/>
                <w:szCs w:val="24"/>
                <w:u w:val="none"/>
              </w:rPr>
            </w:pPr>
          </w:p>
        </w:tc>
        <w:tc>
          <w:tcPr>
            <w:tcW w:w="886" w:type="dxa"/>
            <w:shd w:val="clear" w:color="auto" w:fill="auto"/>
            <w:vAlign w:val="bottom"/>
          </w:tcPr>
          <w:p>
            <w:pPr>
              <w:rPr>
                <w:rFonts w:hint="eastAsia" w:ascii="宋体" w:hAnsi="宋体" w:eastAsia="宋体" w:cs="宋体"/>
                <w:i w:val="0"/>
                <w:color w:val="000000"/>
                <w:sz w:val="24"/>
                <w:szCs w:val="24"/>
                <w:u w:val="none"/>
              </w:rPr>
            </w:pPr>
          </w:p>
        </w:tc>
        <w:tc>
          <w:tcPr>
            <w:tcW w:w="1335" w:type="dxa"/>
            <w:shd w:val="clear" w:color="auto" w:fill="auto"/>
            <w:vAlign w:val="bottom"/>
          </w:tcPr>
          <w:p>
            <w:pPr>
              <w:rPr>
                <w:rFonts w:hint="eastAsia" w:ascii="宋体" w:hAnsi="宋体" w:eastAsia="宋体" w:cs="宋体"/>
                <w:i w:val="0"/>
                <w:color w:val="000000"/>
                <w:sz w:val="24"/>
                <w:szCs w:val="24"/>
                <w:u w:val="none"/>
              </w:rPr>
            </w:pPr>
          </w:p>
        </w:tc>
        <w:tc>
          <w:tcPr>
            <w:tcW w:w="847" w:type="dxa"/>
            <w:shd w:val="clear" w:color="auto" w:fill="auto"/>
            <w:vAlign w:val="bottom"/>
          </w:tcPr>
          <w:p>
            <w:pPr>
              <w:rPr>
                <w:rFonts w:hint="eastAsia" w:ascii="宋体" w:hAnsi="宋体" w:eastAsia="宋体" w:cs="宋体"/>
                <w:i w:val="0"/>
                <w:color w:val="000000"/>
                <w:sz w:val="24"/>
                <w:szCs w:val="24"/>
                <w:u w:val="none"/>
              </w:rPr>
            </w:pPr>
          </w:p>
        </w:tc>
        <w:tc>
          <w:tcPr>
            <w:tcW w:w="190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支出项目类别（资金使用单位）</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2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罗定市朗塘中学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777</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tbl>
      <w:tblPr>
        <w:tblStyle w:val="3"/>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52"/>
        <w:gridCol w:w="790"/>
        <w:gridCol w:w="584"/>
        <w:gridCol w:w="584"/>
        <w:gridCol w:w="585"/>
        <w:gridCol w:w="636"/>
        <w:gridCol w:w="584"/>
        <w:gridCol w:w="1753"/>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7" w:hRule="atLeast"/>
        </w:trPr>
        <w:tc>
          <w:tcPr>
            <w:tcW w:w="9020" w:type="dxa"/>
            <w:gridSpan w:val="9"/>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1" w:hRule="atLeast"/>
        </w:trPr>
        <w:tc>
          <w:tcPr>
            <w:tcW w:w="7268"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2017年部门预算项目支出及其他支出预算表</w:t>
            </w:r>
          </w:p>
        </w:tc>
        <w:tc>
          <w:tcPr>
            <w:tcW w:w="1752" w:type="dxa"/>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8" w:hRule="atLeast"/>
        </w:trPr>
        <w:tc>
          <w:tcPr>
            <w:tcW w:w="3126" w:type="dxa"/>
            <w:gridSpan w:val="3"/>
            <w:shd w:val="clear" w:color="auto" w:fill="auto"/>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 xml:space="preserve">单位名称：罗定市朗塘中学 </w:t>
            </w:r>
          </w:p>
        </w:tc>
        <w:tc>
          <w:tcPr>
            <w:tcW w:w="584" w:type="dxa"/>
            <w:shd w:val="clear" w:color="auto" w:fill="auto"/>
            <w:vAlign w:val="bottom"/>
          </w:tcPr>
          <w:p>
            <w:pPr>
              <w:rPr>
                <w:rFonts w:hint="eastAsia" w:ascii="宋体" w:hAnsi="宋体" w:eastAsia="宋体" w:cs="宋体"/>
                <w:i w:val="0"/>
                <w:color w:val="000000"/>
                <w:sz w:val="24"/>
                <w:szCs w:val="24"/>
                <w:u w:val="none"/>
              </w:rPr>
            </w:pPr>
          </w:p>
        </w:tc>
        <w:tc>
          <w:tcPr>
            <w:tcW w:w="585" w:type="dxa"/>
            <w:shd w:val="clear" w:color="auto" w:fill="auto"/>
            <w:vAlign w:val="bottom"/>
          </w:tcPr>
          <w:p>
            <w:pPr>
              <w:rPr>
                <w:rFonts w:hint="eastAsia" w:ascii="宋体" w:hAnsi="宋体" w:eastAsia="宋体" w:cs="宋体"/>
                <w:i w:val="0"/>
                <w:color w:val="000000"/>
                <w:sz w:val="24"/>
                <w:szCs w:val="24"/>
                <w:u w:val="none"/>
              </w:rPr>
            </w:pPr>
          </w:p>
        </w:tc>
        <w:tc>
          <w:tcPr>
            <w:tcW w:w="636" w:type="dxa"/>
            <w:shd w:val="clear" w:color="auto" w:fill="auto"/>
            <w:vAlign w:val="bottom"/>
          </w:tcPr>
          <w:p>
            <w:pPr>
              <w:rPr>
                <w:rFonts w:hint="eastAsia" w:ascii="宋体" w:hAnsi="宋体" w:eastAsia="宋体" w:cs="宋体"/>
                <w:i w:val="0"/>
                <w:color w:val="000000"/>
                <w:sz w:val="24"/>
                <w:szCs w:val="24"/>
                <w:u w:val="none"/>
              </w:rPr>
            </w:pPr>
          </w:p>
        </w:tc>
        <w:tc>
          <w:tcPr>
            <w:tcW w:w="584" w:type="dxa"/>
            <w:shd w:val="clear" w:color="auto" w:fill="auto"/>
            <w:vAlign w:val="bottom"/>
          </w:tcPr>
          <w:p>
            <w:pPr>
              <w:rPr>
                <w:rFonts w:hint="eastAsia" w:ascii="宋体" w:hAnsi="宋体" w:eastAsia="宋体" w:cs="宋体"/>
                <w:i w:val="0"/>
                <w:color w:val="000000"/>
                <w:sz w:val="24"/>
                <w:szCs w:val="24"/>
                <w:u w:val="none"/>
              </w:rPr>
            </w:pPr>
          </w:p>
        </w:tc>
        <w:tc>
          <w:tcPr>
            <w:tcW w:w="175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c>
          <w:tcPr>
            <w:tcW w:w="175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1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罗定市XX局</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7" w:hRule="atLeast"/>
        </w:trPr>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年部门预算情况说明</w:t>
      </w:r>
    </w:p>
    <w:p>
      <w:pPr>
        <w:rPr>
          <w:rFonts w:ascii="方正小标宋简体" w:hAnsi="方正小标宋简体" w:eastAsia="方正小标宋简体" w:cs="Times New Roman"/>
          <w:sz w:val="44"/>
          <w:szCs w:val="44"/>
        </w:rPr>
      </w:pP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rPr>
          <w:rFonts w:ascii="黑体" w:hAnsi="黑体" w:eastAsia="黑体" w:cs="Times New Roman"/>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1118</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年工资福利提升，养老并轨工作逐步完善，养老保险费用增加；支出预算</w:t>
      </w:r>
      <w:r>
        <w:rPr>
          <w:rFonts w:hint="eastAsia" w:ascii="仿宋_GB2312" w:hAnsi="仿宋_GB2312" w:eastAsia="仿宋_GB2312" w:cs="仿宋_GB2312"/>
          <w:sz w:val="32"/>
          <w:szCs w:val="32"/>
          <w:lang w:val="en-US" w:eastAsia="zh-CN"/>
        </w:rPr>
        <w:t>1118</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，主要原因是主要原因是</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年工资福利提升，工资支出增加；养老并轨工作逐步完善，养老保险费用增加。</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Times New Roman"/>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19.6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上年预算偏低，本年按人均</w:t>
      </w:r>
      <w:r>
        <w:rPr>
          <w:rFonts w:hint="eastAsia" w:ascii="仿宋_GB2312" w:hAnsi="仿宋_GB2312" w:eastAsia="仿宋_GB2312" w:cs="仿宋_GB2312"/>
          <w:sz w:val="32"/>
          <w:szCs w:val="32"/>
          <w:lang w:val="en-US" w:eastAsia="zh-CN"/>
        </w:rPr>
        <w:t>200元/年的量化标准执行。</w:t>
      </w:r>
      <w:r>
        <w:rPr>
          <w:rFonts w:hint="eastAsia" w:ascii="仿宋_GB2312" w:eastAsia="仿宋_GB2312" w:cs="仿宋_GB2312"/>
          <w:sz w:val="32"/>
          <w:szCs w:val="32"/>
        </w:rPr>
        <w:t>我单位认真贯彻落实中央关于厉行节约等有关规定，遵循厉行节俭原则，严格控制公务接待经费，确保零增长</w:t>
      </w:r>
      <w:r>
        <w:rPr>
          <w:rFonts w:hint="eastAsia" w:ascii="仿宋_GB2312" w:hAnsi="仿宋_GB2312" w:eastAsia="仿宋_GB2312" w:cs="仿宋_GB2312"/>
          <w:sz w:val="32"/>
          <w:szCs w:val="32"/>
        </w:rPr>
        <w:t>。其中：因公出国（境）费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万元，与上年保持不变；公务用车购置及运行费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万元，与上年保持不变；公务接待费</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19.6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年，本部门机关运行经费安排</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ind w:firstLine="640" w:firstLineChars="200"/>
        <w:rPr>
          <w:rFonts w:ascii="黑体" w:hAnsi="黑体" w:eastAsia="黑体" w:cs="Times New Roman"/>
          <w:sz w:val="32"/>
          <w:szCs w:val="32"/>
        </w:rPr>
      </w:pPr>
      <w:r>
        <w:rPr>
          <w:rFonts w:hint="eastAsia" w:ascii="黑体" w:hAnsi="仿宋_GB2312" w:eastAsia="黑体" w:cs="黑体"/>
          <w:sz w:val="32"/>
          <w:szCs w:val="32"/>
        </w:rPr>
        <w:t>四、</w:t>
      </w:r>
      <w:r>
        <w:rPr>
          <w:rFonts w:hint="eastAsia" w:ascii="黑体" w:hAnsi="黑体" w:eastAsia="黑体" w:cs="黑体"/>
          <w:sz w:val="32"/>
          <w:szCs w:val="32"/>
        </w:rPr>
        <w:t>政府采购情况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年本部门政府采购安排</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pPr>
        <w:numPr>
          <w:ilvl w:val="0"/>
          <w:numId w:val="4"/>
        </w:numPr>
        <w:rPr>
          <w:rFonts w:ascii="黑体" w:hAnsi="黑体" w:eastAsia="黑体" w:cs="Times New Roman"/>
          <w:sz w:val="32"/>
          <w:szCs w:val="32"/>
        </w:rPr>
      </w:pPr>
      <w:r>
        <w:rPr>
          <w:rFonts w:hint="eastAsia" w:ascii="黑体" w:hAnsi="黑体" w:eastAsia="黑体" w:cs="黑体"/>
          <w:sz w:val="32"/>
          <w:szCs w:val="32"/>
        </w:rPr>
        <w:t>国有资产占有使用情况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日，本部门占有使用国有资产总体情况为：</w:t>
      </w:r>
      <w:r>
        <w:rPr>
          <w:rFonts w:hint="eastAsia" w:ascii="仿宋_GB2312" w:hAnsi="仿宋_GB2312" w:eastAsia="仿宋_GB2312" w:cs="仿宋_GB2312"/>
          <w:sz w:val="32"/>
          <w:szCs w:val="32"/>
          <w:lang w:val="en-US" w:eastAsia="zh-CN"/>
        </w:rPr>
        <w:t>1199.65</w:t>
      </w:r>
      <w:r>
        <w:rPr>
          <w:rFonts w:hint="eastAsia" w:ascii="仿宋_GB2312" w:hAnsi="仿宋_GB2312" w:eastAsia="仿宋_GB2312" w:cs="仿宋_GB2312"/>
          <w:sz w:val="32"/>
          <w:szCs w:val="32"/>
        </w:rPr>
        <w:t>万元。</w:t>
      </w:r>
    </w:p>
    <w:p>
      <w:pPr>
        <w:numPr>
          <w:ilvl w:val="0"/>
          <w:numId w:val="3"/>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rPr>
          <w:rFonts w:hint="eastAsia" w:ascii="方正小标宋简体" w:hAnsi="方正小标宋简体" w:eastAsia="方正小标宋简体" w:cs="方正小标宋简体"/>
          <w:sz w:val="44"/>
          <w:szCs w:val="44"/>
          <w:lang w:val="en-US" w:eastAsia="zh-CN"/>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年，本部门推进预算绩效信息公开的有关工作情况：</w:t>
      </w:r>
      <w:r>
        <w:rPr>
          <w:rFonts w:ascii="仿宋_GB2312" w:eastAsia="仿宋_GB2312" w:cs="仿宋_GB2312"/>
          <w:sz w:val="32"/>
          <w:szCs w:val="32"/>
        </w:rPr>
        <w:t>201</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年纳入预算绩效目标管理的项目</w:t>
      </w:r>
      <w:r>
        <w:rPr>
          <w:rFonts w:ascii="仿宋_GB2312" w:eastAsia="仿宋_GB2312" w:cs="仿宋_GB2312"/>
          <w:sz w:val="32"/>
          <w:szCs w:val="32"/>
        </w:rPr>
        <w:t>0</w:t>
      </w:r>
      <w:r>
        <w:rPr>
          <w:rFonts w:hint="eastAsia" w:ascii="仿宋_GB2312" w:eastAsia="仿宋_GB2312" w:cs="仿宋_GB2312"/>
          <w:sz w:val="32"/>
          <w:szCs w:val="32"/>
        </w:rPr>
        <w:t>个，涉及金额</w:t>
      </w:r>
      <w:r>
        <w:rPr>
          <w:rFonts w:ascii="仿宋_GB2312" w:eastAsia="仿宋_GB2312" w:cs="仿宋_GB2312"/>
          <w:sz w:val="32"/>
          <w:szCs w:val="32"/>
        </w:rPr>
        <w:t>0</w:t>
      </w:r>
      <w:r>
        <w:rPr>
          <w:rFonts w:hint="eastAsia" w:ascii="仿宋_GB2312" w:eastAsia="仿宋_GB2312" w:cs="仿宋_GB2312"/>
          <w:sz w:val="32"/>
          <w:szCs w:val="32"/>
        </w:rPr>
        <w:t>万元。</w:t>
      </w: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一、全口径预算：根据预算法第 5 条，指将全部政府收支纳入预算，并实行与其性质相适应的管理和监督，使政府预算做到体系完整、结构清晰、权责匹配、公开透明。包括一般公共预算、政府性基金预算、国有资本经营预算、社会保险基金预算。</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二、财政拨款收入：指市财政当年拨付的资金。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三、其他收入：指除“财政拨款收入”、“事业收入”“经营收入”等以外的收入。</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四、一般公共服务支出：反映一般公共服务的支出。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五、社会保障和就业支出：反映本单位在社会保障和就业方面的支出。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六、医疗卫生与计划生育支出：反映本单位医疗卫生与计划生育管理方面的支出。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七、城乡社区支出：反映本单位在城乡社区事务的支出。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八、财政事务：反映本单位财政事务方面的支出。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九、基本支出：指为保障机构正常运转、完成日常支出工作任务而发生的人员支出和公用支出。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十、项目支出：指在基本支出之外为完成特定行政任务和事业发展目标所发生的支出。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十一、住房公积金：反映按规定比例为职工缴纳的住房公积金。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十二、基本工资：反映按规定发放的基本工资，包括专业技术人员的岗位、薪级工资；事业单位工人的岗位工资、技术等级工资。</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十三、津贴补贴：反映本单位工作人员岗位津贴。</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十四、其他社会保障缴费：反映单位为职工缴纳的基本医疗、失业、工伤、生育等社会保险费，残疾人就业保障金。</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十五、办公费：反映单位购买财务会计制度规定不符合固定资产确认标准的日常办公用品、书报杂志等支出。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十六、公务接待费：反映单位按规定开支的各类公务接待费用。</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十七、退休费：反映单位退休人员的退休费和其他补贴。</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十八、其他对个人和家庭的补助支出：反映未包括在上述科目的对个人和家庭的补助支出。</w:t>
      </w:r>
    </w:p>
    <w:p>
      <w:p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十九、“三公”经费：纳入预决算管理的“三公”经费 ，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反映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0E49"/>
    <w:multiLevelType w:val="multilevel"/>
    <w:tmpl w:val="13DC0E49"/>
    <w:lvl w:ilvl="0" w:tentative="0">
      <w:start w:val="5"/>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C3D34"/>
    <w:rsid w:val="13016A31"/>
    <w:rsid w:val="133629B9"/>
    <w:rsid w:val="15C15652"/>
    <w:rsid w:val="16ED3088"/>
    <w:rsid w:val="1BE60C98"/>
    <w:rsid w:val="20EE6A13"/>
    <w:rsid w:val="27674492"/>
    <w:rsid w:val="2A5B631F"/>
    <w:rsid w:val="34E727A3"/>
    <w:rsid w:val="36376F45"/>
    <w:rsid w:val="36E602DD"/>
    <w:rsid w:val="3C4327D7"/>
    <w:rsid w:val="44273893"/>
    <w:rsid w:val="45BE07EC"/>
    <w:rsid w:val="4DFD2543"/>
    <w:rsid w:val="50CB6A87"/>
    <w:rsid w:val="517E66BE"/>
    <w:rsid w:val="52D925A3"/>
    <w:rsid w:val="53CB20B5"/>
    <w:rsid w:val="54AA196F"/>
    <w:rsid w:val="5641194F"/>
    <w:rsid w:val="5B637725"/>
    <w:rsid w:val="5B7F5718"/>
    <w:rsid w:val="60E37A9B"/>
    <w:rsid w:val="66D06120"/>
    <w:rsid w:val="6D9B07DA"/>
    <w:rsid w:val="72075D54"/>
    <w:rsid w:val="72F14D63"/>
    <w:rsid w:val="76A26716"/>
    <w:rsid w:val="76AE4CF7"/>
    <w:rsid w:val="7A3D118F"/>
    <w:rsid w:val="7B912450"/>
    <w:rsid w:val="7CA45670"/>
    <w:rsid w:val="7EFE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2"/>
    <w:qFormat/>
    <w:uiPriority w:val="0"/>
    <w:rPr>
      <w:rFonts w:hint="eastAsia" w:ascii="仿宋" w:hAnsi="仿宋" w:eastAsia="仿宋" w:cs="仿宋"/>
      <w:color w:val="000000"/>
      <w:sz w:val="24"/>
      <w:szCs w:val="24"/>
      <w:u w:val="none"/>
    </w:rPr>
  </w:style>
  <w:style w:type="character" w:customStyle="1" w:styleId="5">
    <w:name w:val="font3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2018-03-29T11:31:00Z</cp:lastPrinted>
  <dcterms:modified xsi:type="dcterms:W3CDTF">2018-03-29T13:55:26Z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