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2016年</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图书馆部门预算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罗定市图书馆概况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2016年部门预算表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第一部分  市图书馆概况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罗定市图书馆是公益一类的副科级事业单位，担负着保存人类文化遗产、开展社会教育、传递科学信息、开发智力资源、文化休闲的职能，是我市精神文明建设的重要窗口。</w:t>
      </w:r>
    </w:p>
    <w:p>
      <w:pPr>
        <w:numPr>
          <w:ilvl w:val="0"/>
          <w:numId w:val="0"/>
        </w:numPr>
        <w:ind w:firstLine="640"/>
        <w:jc w:val="both"/>
        <w:rPr>
          <w:rFonts w:hint="eastAsia" w:ascii="仿宋_GB2312" w:hAnsi="仿宋_GB2312" w:eastAsia="仿宋_GB2312" w:cs="仿宋_GB2312"/>
          <w:sz w:val="32"/>
          <w:szCs w:val="32"/>
          <w:lang w:val="en-US" w:eastAsia="zh-CN"/>
        </w:rPr>
      </w:pPr>
    </w:p>
    <w:p>
      <w:pPr>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numPr>
          <w:ilvl w:val="0"/>
          <w:numId w:val="4"/>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本部门无下属单位，部门预算为本级预算。</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numPr>
          <w:ilvl w:val="0"/>
          <w:numId w:val="4"/>
        </w:numPr>
        <w:ind w:firstLine="640"/>
        <w:jc w:val="both"/>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图书馆下设有办公室、文献流通组、采编组、宣传辅导组、古籍、地方文献特藏组、文化共享工程组等六个室组。图书馆事业编制人数为21人，实有人数26人，其中：在职17人，离退休9人，全部纳入财政统发工资。</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2016年部门预算表</w:t>
      </w:r>
    </w:p>
    <w:p>
      <w:pPr>
        <w:jc w:val="center"/>
        <w:rPr>
          <w:rFonts w:hint="eastAsia"/>
          <w:lang w:val="en-US" w:eastAsia="zh-CN"/>
        </w:rPr>
      </w:pPr>
    </w:p>
    <w:p>
      <w:pPr>
        <w:jc w:val="both"/>
      </w:pPr>
    </w:p>
    <w:tbl>
      <w:tblPr>
        <w:tblStyle w:val="3"/>
        <w:tblpPr w:leftFromText="180" w:rightFromText="180" w:vertAnchor="text" w:horzAnchor="page" w:tblpX="839" w:tblpY="366"/>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85"/>
        <w:gridCol w:w="2586"/>
        <w:gridCol w:w="2203"/>
        <w:gridCol w:w="2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59" w:hRule="atLeast"/>
        </w:trPr>
        <w:tc>
          <w:tcPr>
            <w:tcW w:w="9960"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3" w:hRule="atLeast"/>
        </w:trPr>
        <w:tc>
          <w:tcPr>
            <w:tcW w:w="5171"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   </w:t>
            </w:r>
          </w:p>
        </w:tc>
        <w:tc>
          <w:tcPr>
            <w:tcW w:w="4789"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517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c>
          <w:tcPr>
            <w:tcW w:w="478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一、财政拨款</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192</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一、基本支出</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二、财政专户拨款</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二、项目支出</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三、其他资金</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三、事业单位经营支出</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本年收入合计</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i w:val="0"/>
                <w:color w:val="000000"/>
                <w:sz w:val="24"/>
                <w:szCs w:val="24"/>
                <w:u w:val="none"/>
                <w:lang w:val="en-US" w:eastAsia="zh-CN"/>
              </w:rPr>
              <w:t>192</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本年支出合计</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i w:val="0"/>
                <w:color w:val="000000"/>
                <w:sz w:val="24"/>
                <w:szCs w:val="24"/>
                <w:u w:val="none"/>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9" w:hRule="atLeast"/>
        </w:trPr>
        <w:tc>
          <w:tcPr>
            <w:tcW w:w="2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四、上级补助收入</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四、对附属单位补助支出</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2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五、附属单位上缴收入</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五、上缴上级支出</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9" w:hRule="atLeast"/>
        </w:trPr>
        <w:tc>
          <w:tcPr>
            <w:tcW w:w="2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六、用事业基金弥补收支总额</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六、结转下年</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4" w:hRule="atLeast"/>
        </w:trPr>
        <w:tc>
          <w:tcPr>
            <w:tcW w:w="2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4" w:hRule="atLeast"/>
        </w:trPr>
        <w:tc>
          <w:tcPr>
            <w:tcW w:w="2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收入总计</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仿宋" w:hAnsi="仿宋" w:eastAsia="仿宋" w:cs="仿宋"/>
                <w:i w:val="0"/>
                <w:color w:val="000000"/>
                <w:sz w:val="24"/>
                <w:szCs w:val="24"/>
                <w:u w:val="none"/>
                <w:lang w:val="en-US" w:eastAsia="zh-CN"/>
              </w:rPr>
              <w:t>192</w:t>
            </w:r>
          </w:p>
        </w:tc>
        <w:tc>
          <w:tcPr>
            <w:tcW w:w="22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支出总计</w:t>
            </w:r>
          </w:p>
        </w:tc>
        <w:tc>
          <w:tcPr>
            <w:tcW w:w="2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仿宋" w:hAnsi="仿宋" w:eastAsia="仿宋" w:cs="仿宋"/>
                <w:i w:val="0"/>
                <w:color w:val="000000"/>
                <w:sz w:val="24"/>
                <w:szCs w:val="24"/>
                <w:u w:val="none"/>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4" w:hRule="atLeast"/>
        </w:trPr>
        <w:tc>
          <w:tcPr>
            <w:tcW w:w="9960" w:type="dxa"/>
            <w:gridSpan w:val="4"/>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注：1.财政拨款收支情况包括一般公共预算、政府性基金预算拨款收支情况。</w:t>
            </w:r>
          </w:p>
        </w:tc>
      </w:tr>
    </w:tbl>
    <w:p>
      <w:pPr>
        <w:jc w:val="both"/>
        <w:rPr>
          <w:rFonts w:hint="eastAsia"/>
          <w:lang w:val="en-US" w:eastAsia="zh-CN"/>
        </w:rPr>
      </w:pPr>
    </w:p>
    <w:tbl>
      <w:tblPr>
        <w:tblStyle w:val="3"/>
        <w:tblW w:w="8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5" w:hRule="atLeast"/>
        </w:trPr>
        <w:tc>
          <w:tcPr>
            <w:tcW w:w="8085" w:type="dxa"/>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p>
        </w:tc>
      </w:tr>
    </w:tbl>
    <w:p>
      <w:pPr>
        <w:jc w:val="both"/>
      </w:pPr>
    </w:p>
    <w:p>
      <w:pPr>
        <w:jc w:val="both"/>
      </w:pPr>
    </w:p>
    <w:p>
      <w:pPr>
        <w:jc w:val="both"/>
      </w:pPr>
    </w:p>
    <w:tbl>
      <w:tblPr>
        <w:tblStyle w:val="3"/>
        <w:tblW w:w="8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335"/>
        <w:gridCol w:w="3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45" w:hRule="atLeast"/>
        </w:trPr>
        <w:tc>
          <w:tcPr>
            <w:tcW w:w="8540" w:type="dxa"/>
            <w:gridSpan w:val="2"/>
            <w:shd w:val="clear" w:color="auto" w:fill="auto"/>
            <w:vAlign w:val="center"/>
          </w:tcPr>
          <w:p>
            <w:pPr>
              <w:keepNext w:val="0"/>
              <w:keepLines w:val="0"/>
              <w:widowControl/>
              <w:suppressLineNumbers w:val="0"/>
              <w:jc w:val="both"/>
              <w:textAlignment w:val="center"/>
              <w:rPr>
                <w:rFonts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6" w:hRule="atLeast"/>
        </w:trPr>
        <w:tc>
          <w:tcPr>
            <w:tcW w:w="8540" w:type="dxa"/>
            <w:gridSpan w:val="2"/>
            <w:shd w:val="clear" w:color="auto" w:fill="auto"/>
            <w:vAlign w:val="center"/>
          </w:tcPr>
          <w:p>
            <w:pPr>
              <w:keepNext w:val="0"/>
              <w:keepLines w:val="0"/>
              <w:widowControl/>
              <w:suppressLineNumbers w:val="0"/>
              <w:jc w:val="both"/>
              <w:textAlignment w:val="center"/>
              <w:rPr>
                <w:rFonts w:hint="eastAsia" w:ascii="宋体" w:hAnsi="宋体" w:eastAsia="宋体" w:cs="宋体"/>
                <w:b/>
                <w:i w:val="0"/>
                <w:color w:val="000000"/>
                <w:kern w:val="0"/>
                <w:sz w:val="36"/>
                <w:szCs w:val="36"/>
                <w:u w:val="none"/>
                <w:lang w:val="en-US" w:eastAsia="zh-CN" w:bidi="ar"/>
              </w:rPr>
            </w:pPr>
            <w:r>
              <w:rPr>
                <w:rFonts w:hint="eastAsia" w:ascii="仿宋" w:hAnsi="仿宋" w:eastAsia="仿宋" w:cs="仿宋"/>
                <w:i w:val="0"/>
                <w:color w:val="000000"/>
                <w:kern w:val="0"/>
                <w:sz w:val="24"/>
                <w:szCs w:val="24"/>
                <w:u w:val="none"/>
                <w:lang w:val="en-US" w:eastAsia="zh-CN" w:bidi="ar"/>
              </w:rPr>
              <w:t xml:space="preserve">                                                                   表2</w:t>
            </w:r>
          </w:p>
          <w:p>
            <w:pPr>
              <w:keepNext w:val="0"/>
              <w:keepLines w:val="0"/>
              <w:widowControl/>
              <w:suppressLineNumbers w:val="0"/>
              <w:ind w:firstLine="2530" w:firstLineChars="700"/>
              <w:jc w:val="both"/>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6" w:hRule="atLeast"/>
        </w:trPr>
        <w:tc>
          <w:tcPr>
            <w:tcW w:w="5335"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   </w:t>
            </w:r>
          </w:p>
        </w:tc>
        <w:tc>
          <w:tcPr>
            <w:tcW w:w="3205"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85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一、财政拨款</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一般公共预算拨款</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基金预算拨款</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二、财政专户拨款</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教育收费</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其他财政收入拨款</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三、其他资金</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事业收入</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事业单位经营收入</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其他收入</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本年收入合计</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四、上级补助收入</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五、附属单位上缴收入</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6"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六、用事业基金弥补收支总额</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7"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0" w:hRule="atLeast"/>
        </w:trPr>
        <w:tc>
          <w:tcPr>
            <w:tcW w:w="53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收入总计</w:t>
            </w:r>
          </w:p>
        </w:tc>
        <w:tc>
          <w:tcPr>
            <w:tcW w:w="32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仿宋" w:hAnsi="仿宋" w:eastAsia="仿宋" w:cs="仿宋"/>
                <w:i w:val="0"/>
                <w:color w:val="000000"/>
                <w:sz w:val="24"/>
                <w:szCs w:val="24"/>
                <w:u w:val="none"/>
                <w:lang w:val="en-US" w:eastAsia="zh-CN"/>
              </w:rPr>
              <w:t>192</w:t>
            </w:r>
          </w:p>
        </w:tc>
      </w:tr>
    </w:tbl>
    <w:p>
      <w:pPr>
        <w:jc w:val="both"/>
        <w:sectPr>
          <w:pgSz w:w="11906" w:h="16838"/>
          <w:pgMar w:top="1440" w:right="1800" w:bottom="1440" w:left="1800" w:header="851" w:footer="992" w:gutter="0"/>
          <w:cols w:space="425" w:num="1"/>
          <w:docGrid w:type="lines" w:linePitch="312" w:charSpace="0"/>
        </w:sectPr>
      </w:pPr>
    </w:p>
    <w:tbl>
      <w:tblPr>
        <w:tblStyle w:val="3"/>
        <w:tblW w:w="83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44"/>
        <w:gridCol w:w="3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4" w:hRule="atLeast"/>
        </w:trPr>
        <w:tc>
          <w:tcPr>
            <w:tcW w:w="8340"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8" w:hRule="atLeast"/>
        </w:trPr>
        <w:tc>
          <w:tcPr>
            <w:tcW w:w="834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部门预算支出总体情况表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3" w:hRule="atLeast"/>
        </w:trPr>
        <w:tc>
          <w:tcPr>
            <w:tcW w:w="4944"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   </w:t>
            </w:r>
          </w:p>
        </w:tc>
        <w:tc>
          <w:tcPr>
            <w:tcW w:w="3396"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834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一、基本支出</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工资福利支出</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一般商品和服务支出</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对个人和家庭的补助</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其他资本性支出等</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仿宋" w:hAnsi="仿宋" w:eastAsia="仿宋" w:cs="仿宋"/>
                <w:i w:val="0"/>
                <w:color w:val="000000"/>
                <w:sz w:val="24"/>
                <w:szCs w:val="24"/>
                <w:u w:val="none"/>
              </w:rPr>
            </w:pP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二、项目支出</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日常运转类项目</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政府购买服务类项目</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其他类项目</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科技研发类项目</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基本建设类项目</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补助企事业类项目</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信息化运维类项目</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专项业务类项目</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因公出国（境）类项目</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信息系统建设类项目</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三、事业单位经营支出</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本年支出合计</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i w:val="0"/>
                <w:color w:val="000000"/>
                <w:sz w:val="24"/>
                <w:szCs w:val="24"/>
                <w:u w:val="none"/>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四、对附属单位补助支出</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五、上缴上级支出</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六、结转下年</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仿宋" w:hAnsi="仿宋" w:eastAsia="仿宋" w:cs="仿宋"/>
                <w:i w:val="0"/>
                <w:color w:val="000000"/>
                <w:sz w:val="24"/>
                <w:szCs w:val="24"/>
                <w:u w:val="none"/>
              </w:rPr>
            </w:pP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3" w:hRule="atLeast"/>
        </w:trPr>
        <w:tc>
          <w:tcPr>
            <w:tcW w:w="49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支出总计</w:t>
            </w:r>
          </w:p>
        </w:tc>
        <w:tc>
          <w:tcPr>
            <w:tcW w:w="3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仿宋" w:hAnsi="仿宋" w:eastAsia="仿宋" w:cs="仿宋"/>
                <w:i w:val="0"/>
                <w:color w:val="000000"/>
                <w:sz w:val="24"/>
                <w:szCs w:val="24"/>
                <w:u w:val="none"/>
                <w:lang w:val="en-US" w:eastAsia="zh-CN"/>
              </w:rPr>
              <w:t>192</w:t>
            </w:r>
          </w:p>
        </w:tc>
      </w:tr>
    </w:tbl>
    <w:tbl>
      <w:tblPr>
        <w:tblStyle w:val="3"/>
        <w:tblpPr w:leftFromText="180" w:rightFromText="180" w:vertAnchor="text" w:horzAnchor="page" w:tblpX="1799" w:tblpY="1210"/>
        <w:tblOverlap w:val="never"/>
        <w:tblW w:w="9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60"/>
        <w:gridCol w:w="2260"/>
        <w:gridCol w:w="2260"/>
        <w:gridCol w:w="2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5" w:hRule="atLeast"/>
        </w:trPr>
        <w:tc>
          <w:tcPr>
            <w:tcW w:w="9040" w:type="dxa"/>
            <w:gridSpan w:val="4"/>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trPr>
        <w:tc>
          <w:tcPr>
            <w:tcW w:w="9040"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4520" w:type="dxa"/>
            <w:gridSpan w:val="2"/>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   </w:t>
            </w:r>
          </w:p>
        </w:tc>
        <w:tc>
          <w:tcPr>
            <w:tcW w:w="2260" w:type="dxa"/>
            <w:shd w:val="clear" w:color="auto" w:fill="auto"/>
            <w:vAlign w:val="bottom"/>
          </w:tcPr>
          <w:p>
            <w:pPr>
              <w:rPr>
                <w:rFonts w:hint="eastAsia" w:ascii="宋体" w:hAnsi="宋体" w:eastAsia="宋体" w:cs="宋体"/>
                <w:i w:val="0"/>
                <w:color w:val="000000"/>
                <w:sz w:val="20"/>
                <w:szCs w:val="20"/>
                <w:u w:val="none"/>
              </w:rPr>
            </w:pPr>
          </w:p>
        </w:tc>
        <w:tc>
          <w:tcPr>
            <w:tcW w:w="2260"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trPr>
        <w:tc>
          <w:tcPr>
            <w:tcW w:w="45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收入</w:t>
            </w:r>
          </w:p>
        </w:tc>
        <w:tc>
          <w:tcPr>
            <w:tcW w:w="452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trPr>
        <w:tc>
          <w:tcPr>
            <w:tcW w:w="2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c>
          <w:tcPr>
            <w:tcW w:w="2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w:t>
            </w:r>
          </w:p>
        </w:tc>
        <w:tc>
          <w:tcPr>
            <w:tcW w:w="22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一、一般公共预算拨款</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192</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一、一般公共预算拨款</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 w:hAnsi="仿宋" w:eastAsia="仿宋" w:cs="仿宋"/>
                <w:i w:val="0"/>
                <w:color w:val="000000"/>
                <w:sz w:val="24"/>
                <w:szCs w:val="24"/>
                <w:u w:val="none"/>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二、基金预算拨款</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二、基金预算拨款</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5" w:hRule="atLeast"/>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3" w:hRule="atLeast"/>
        </w:trPr>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本年收入合计</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仿宋" w:hAnsi="仿宋" w:eastAsia="仿宋" w:cs="仿宋"/>
                <w:i w:val="0"/>
                <w:color w:val="000000"/>
                <w:sz w:val="24"/>
                <w:szCs w:val="24"/>
                <w:u w:val="none"/>
                <w:lang w:val="en-US" w:eastAsia="zh-CN"/>
              </w:rPr>
              <w:t>192</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本年支出合计</w:t>
            </w:r>
          </w:p>
        </w:tc>
        <w:tc>
          <w:tcPr>
            <w:tcW w:w="2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仿宋" w:hAnsi="仿宋" w:eastAsia="仿宋" w:cs="仿宋"/>
                <w:i w:val="0"/>
                <w:color w:val="000000"/>
                <w:sz w:val="24"/>
                <w:szCs w:val="24"/>
                <w:u w:val="none"/>
                <w:lang w:val="en-US" w:eastAsia="zh-CN"/>
              </w:rPr>
              <w:t>192</w:t>
            </w:r>
          </w:p>
        </w:tc>
      </w:tr>
    </w:tbl>
    <w:tbl>
      <w:tblPr>
        <w:tblStyle w:val="3"/>
        <w:tblpPr w:leftFromText="180" w:rightFromText="180" w:vertAnchor="text" w:horzAnchor="page" w:tblpX="1799" w:tblpY="-673"/>
        <w:tblOverlap w:val="never"/>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404"/>
        <w:gridCol w:w="1644"/>
        <w:gridCol w:w="1837"/>
        <w:gridCol w:w="2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1" w:hRule="atLeast"/>
        </w:trPr>
        <w:tc>
          <w:tcPr>
            <w:tcW w:w="9060" w:type="dxa"/>
            <w:gridSpan w:val="4"/>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hint="eastAsia" w:ascii="仿宋" w:hAnsi="仿宋" w:eastAsia="仿宋" w:cs="仿宋"/>
                <w:i w:val="0"/>
                <w:color w:val="000000"/>
                <w:kern w:val="0"/>
                <w:sz w:val="24"/>
                <w:szCs w:val="24"/>
                <w:u w:val="none"/>
                <w:lang w:val="en-US" w:eastAsia="zh-CN" w:bidi="ar"/>
              </w:rPr>
            </w:pPr>
          </w:p>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9060"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一般公共预算支出情况表（按功能分类科目）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1" w:hRule="atLeast"/>
        </w:trPr>
        <w:tc>
          <w:tcPr>
            <w:tcW w:w="3404"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   </w:t>
            </w:r>
          </w:p>
        </w:tc>
        <w:tc>
          <w:tcPr>
            <w:tcW w:w="1644"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4012" w:type="dxa"/>
            <w:gridSpan w:val="2"/>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1" w:hRule="atLeast"/>
        </w:trPr>
        <w:tc>
          <w:tcPr>
            <w:tcW w:w="3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功能科目名称</w:t>
            </w:r>
          </w:p>
        </w:tc>
        <w:tc>
          <w:tcPr>
            <w:tcW w:w="56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2" w:hRule="atLeast"/>
        </w:trPr>
        <w:tc>
          <w:tcPr>
            <w:tcW w:w="3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小计</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其中：基本支出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192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192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[207]文化体育与传媒支出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160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160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[20701]文化</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160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160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2" w:hRule="atLeast"/>
        </w:trPr>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[2070104]图书馆</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160</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160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[208]社会保障和就业支出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lang w:val="en-US" w:eastAsia="zh-CN"/>
              </w:rPr>
            </w:pPr>
            <w:r>
              <w:rPr>
                <w:rFonts w:hint="eastAsia" w:ascii="仿宋" w:hAnsi="仿宋" w:eastAsia="仿宋" w:cs="仿宋"/>
                <w:i w:val="0"/>
                <w:color w:val="000000"/>
                <w:sz w:val="24"/>
                <w:szCs w:val="24"/>
                <w:u w:val="none"/>
                <w:lang w:val="en-US" w:eastAsia="zh-CN"/>
              </w:rPr>
              <w:t>32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32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1" w:hRule="atLeast"/>
        </w:trPr>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[20805]行政事业单位离退休</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32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32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[2080502]事业单位离退休</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32</w:t>
            </w: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sz w:val="24"/>
                <w:szCs w:val="24"/>
                <w:u w:val="none"/>
                <w:lang w:val="en-US" w:eastAsia="zh-CN"/>
              </w:rPr>
              <w:t>32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2" w:hRule="atLeast"/>
        </w:trPr>
        <w:tc>
          <w:tcPr>
            <w:tcW w:w="3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1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p>
        </w:tc>
      </w:tr>
    </w:tbl>
    <w:p>
      <w:pPr>
        <w:jc w:val="both"/>
        <w:sectPr>
          <w:pgSz w:w="11906" w:h="16838"/>
          <w:pgMar w:top="1440" w:right="1800" w:bottom="1440" w:left="1800" w:header="851" w:footer="992" w:gutter="0"/>
          <w:cols w:space="425" w:num="1"/>
          <w:docGrid w:type="lines" w:linePitch="312" w:charSpace="0"/>
        </w:sectPr>
      </w:pPr>
    </w:p>
    <w:tbl>
      <w:tblPr>
        <w:tblStyle w:val="3"/>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213"/>
        <w:gridCol w:w="3179"/>
        <w:gridCol w:w="31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3213" w:type="dxa"/>
            <w:shd w:val="clear" w:color="auto" w:fill="auto"/>
            <w:vAlign w:val="bottom"/>
          </w:tcPr>
          <w:p>
            <w:pPr>
              <w:rPr>
                <w:rFonts w:hint="eastAsia" w:ascii="宋体" w:hAnsi="宋体" w:eastAsia="宋体" w:cs="宋体"/>
                <w:i w:val="0"/>
                <w:color w:val="000000"/>
                <w:sz w:val="20"/>
                <w:szCs w:val="20"/>
                <w:u w:val="none"/>
              </w:rPr>
            </w:pPr>
          </w:p>
        </w:tc>
        <w:tc>
          <w:tcPr>
            <w:tcW w:w="6367" w:type="dxa"/>
            <w:gridSpan w:val="2"/>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9580" w:type="dxa"/>
            <w:gridSpan w:val="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一般公共预算基本支出情况表（按支出经济分类科目）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21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  </w:t>
            </w:r>
          </w:p>
        </w:tc>
        <w:tc>
          <w:tcPr>
            <w:tcW w:w="3179" w:type="dxa"/>
            <w:shd w:val="clear" w:color="auto" w:fill="auto"/>
            <w:vAlign w:val="center"/>
          </w:tcPr>
          <w:p>
            <w:pPr>
              <w:jc w:val="left"/>
              <w:rPr>
                <w:rFonts w:hint="eastAsia" w:ascii="宋体" w:hAnsi="宋体" w:eastAsia="宋体" w:cs="宋体"/>
                <w:i w:val="0"/>
                <w:color w:val="000000"/>
                <w:sz w:val="20"/>
                <w:szCs w:val="20"/>
                <w:u w:val="none"/>
              </w:rPr>
            </w:pPr>
          </w:p>
        </w:tc>
        <w:tc>
          <w:tcPr>
            <w:tcW w:w="3188" w:type="dxa"/>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政府预算支出经济分类</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部门预算支出经济分类</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2016年基本支出预算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[501]机关工资福利支出</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[301]工资福利支出</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[50101]工资奖金津补贴</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[30101]基本工资</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[50101]工资奖金津补贴</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[30102]津贴补贴</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[50101]工资奖金津补贴</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[30103]奖金</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[50102]社会保障缴费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w:t>
            </w:r>
            <w:r>
              <w:rPr>
                <w:rStyle w:val="4"/>
                <w:lang w:val="en-US" w:eastAsia="zh-CN" w:bidi="ar"/>
              </w:rPr>
              <w:t>12]其他社会保障缴费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[50103]住房公积金</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[30113]住房公积金</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[50199]其他工资福利支出</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[30106]伙食补助费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[502]机关商品和服务支出</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[302]商品和服务支出</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[30201]办公费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[30202]印刷费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[30204]手续费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[30205]水费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[30206]电费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[30207]邮电费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[30209]物业管理费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[30211]差旅费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[30214]租赁费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[30228]工会经费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[30229]福利费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[30239]其他交通费用</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[50202]会议费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[30215]会议费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[50203]培训费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[30216]培训费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[30203]咨询费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[30226]劳务费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[30227]委托业务费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[50206]公务接待费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[30217]公务接待费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[50207]因公出国（境）费用</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[30212]因公出国（境）费用</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[50208]公务用车运行维护费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[30231]公务用车运行维护费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[50209]维修（护）费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[30213]维修（护）费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[50299]其他商品和服务支出</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[30299]其他商品和服务支出</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[503]机关资本性支出（一）</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[310]资本性支出</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[31002]办公设备购置</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[505]对事业单位经常性补助</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[301]工资福利支出</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[30101]基本工资</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[30102]津贴补贴</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[30103]奖金</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[30107]绩效工资</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[30113]住房公积金</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[50501]工资福利支出</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[30199]其他工资福利支出</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[505]对事业单位经常性补助</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[302]商品和服务支出</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[50502]商品和服务支出</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[30201]办公费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[50502]商品和服务支出</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[30299]其他商品和服务支出</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[509]对个人和家庭的补助</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[303]对个人和家庭的补助</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 w:hAnsi="仿宋" w:eastAsia="仿宋" w:cs="仿宋"/>
                <w:i w:val="0"/>
                <w:color w:val="000000"/>
                <w:sz w:val="24"/>
                <w:szCs w:val="24"/>
                <w:u w:val="none"/>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[30304]抚恤金</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[30305]生活补助</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[30307]医疗费补助</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[30309]奖励金</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[50905]离退休费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[30301]离休费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[50905]离退休费</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[30302]退休费</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 w:hAnsi="仿宋" w:eastAsia="仿宋" w:cs="仿宋"/>
                <w:i w:val="0"/>
                <w:color w:val="000000"/>
                <w:sz w:val="24"/>
                <w:szCs w:val="24"/>
                <w:u w:val="none"/>
                <w:lang w:val="en-US" w:eastAsia="zh-CN"/>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[50999]其他对个人和家庭的补助</w:t>
            </w:r>
          </w:p>
        </w:tc>
        <w:tc>
          <w:tcPr>
            <w:tcW w:w="31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[30399]其他对个人和家庭的补助</w:t>
            </w:r>
          </w:p>
        </w:tc>
        <w:tc>
          <w:tcPr>
            <w:tcW w:w="3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bl>
    <w:p>
      <w:pPr>
        <w:ind w:left="0" w:leftChars="-295" w:hanging="619" w:hangingChars="295"/>
        <w:jc w:val="both"/>
      </w:pPr>
    </w:p>
    <w:p>
      <w:pPr>
        <w:jc w:val="both"/>
      </w:pPr>
    </w:p>
    <w:p>
      <w:pPr>
        <w:jc w:val="both"/>
      </w:pPr>
    </w:p>
    <w:p>
      <w:pPr>
        <w:jc w:val="both"/>
      </w:pPr>
    </w:p>
    <w:p>
      <w:pPr>
        <w:jc w:val="both"/>
      </w:pPr>
    </w:p>
    <w:p>
      <w:pPr>
        <w:jc w:val="both"/>
      </w:pPr>
    </w:p>
    <w:tbl>
      <w:tblPr>
        <w:tblStyle w:val="3"/>
        <w:tblW w:w="89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345"/>
        <w:gridCol w:w="2808"/>
        <w:gridCol w:w="615"/>
        <w:gridCol w:w="2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5" w:hRule="atLeast"/>
        </w:trPr>
        <w:tc>
          <w:tcPr>
            <w:tcW w:w="8913"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36"/>
                <w:szCs w:val="36"/>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 xml:space="preserve">  一般公共预算项目支出情况表（按支出经济分类科目）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34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  </w:t>
            </w:r>
          </w:p>
        </w:tc>
        <w:tc>
          <w:tcPr>
            <w:tcW w:w="2808" w:type="dxa"/>
            <w:shd w:val="clear" w:color="auto" w:fill="auto"/>
            <w:vAlign w:val="center"/>
          </w:tcPr>
          <w:p>
            <w:pPr>
              <w:jc w:val="left"/>
              <w:rPr>
                <w:rFonts w:hint="eastAsia" w:ascii="宋体" w:hAnsi="宋体" w:eastAsia="宋体" w:cs="宋体"/>
                <w:i w:val="0"/>
                <w:color w:val="000000"/>
                <w:sz w:val="20"/>
                <w:szCs w:val="20"/>
                <w:u w:val="none"/>
              </w:rPr>
            </w:pPr>
          </w:p>
        </w:tc>
        <w:tc>
          <w:tcPr>
            <w:tcW w:w="2760" w:type="dxa"/>
            <w:gridSpan w:val="2"/>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政府预算支出经济分类</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部门预算支出经济分类</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2016年项目支出预算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4"/>
                <w:szCs w:val="24"/>
                <w:u w:val="none"/>
              </w:rPr>
            </w:pP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合计</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[501]机关工资福利支出</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[301]工资福利支出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[50199]其他工资福利支出</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[30106]伙食补助费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[50199]其他工资福利支出</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[30199]其他工资福利支出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[502]机关商品和服务支出</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[302]商品和服务支出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[30201]办公费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[30202]印刷费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[30204]手续费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[30205]水费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[30206]电费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[30207]邮电费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[30209]物业管理费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[30211]差旅费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[30214]租赁费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[50201]办公经费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[30239]其他交通费用</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[50202]会议费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[30215]会议费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[50203]培训费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[30216]培训费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[30203]咨询费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[50205]委托业务费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[30226]劳务费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[50206]公务接待费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[30217]公务接待费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[50208]公务用车运行维护费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[30231]公务用车运行维护费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[50209]维修（护）费</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[30213]维修（护）费</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[50299]其他商品和服务支出</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[30299]其他商品和服务支出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[503]机关资本性支出（一）</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[310]资本性支出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[50301]房屋建筑物购建</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[31001]房屋建筑物购置</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[50303]公务用车购置</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[31013]公务用车购置</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[31002]办公设备购置</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[31003]专用设备购置</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[50306]设备购置</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[31007]信息网络及软件购置更新</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[50307]大型修缮</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[31006]大型修缮</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[50399]其他资本性支出</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[31099]其他资本性支出</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[509]对事业单位经常性补助</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[303]对个人和家庭的补助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[50901]社会福利和救助</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[30307]医疗费补助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[50999]其他对个人和家庭的补助</w:t>
            </w:r>
          </w:p>
        </w:tc>
        <w:tc>
          <w:tcPr>
            <w:tcW w:w="34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 xml:space="preserve">  [30399]其他对个人和家庭的补助</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r>
    </w:tbl>
    <w:p>
      <w:pPr>
        <w:jc w:val="both"/>
      </w:pPr>
    </w:p>
    <w:tbl>
      <w:tblPr>
        <w:tblStyle w:val="3"/>
        <w:tblpPr w:leftFromText="180" w:rightFromText="180" w:vertAnchor="text" w:horzAnchor="page" w:tblpX="1154" w:tblpY="38"/>
        <w:tblOverlap w:val="never"/>
        <w:tblW w:w="9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4"/>
        <w:gridCol w:w="4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5" w:hRule="atLeast"/>
        </w:trPr>
        <w:tc>
          <w:tcPr>
            <w:tcW w:w="4734" w:type="dxa"/>
            <w:shd w:val="clear" w:color="auto" w:fill="auto"/>
            <w:vAlign w:val="center"/>
          </w:tcPr>
          <w:p>
            <w:pPr>
              <w:rPr>
                <w:rFonts w:hint="eastAsia" w:ascii="仿宋" w:hAnsi="仿宋" w:eastAsia="仿宋" w:cs="仿宋"/>
                <w:i w:val="0"/>
                <w:color w:val="000000"/>
                <w:sz w:val="24"/>
                <w:szCs w:val="24"/>
                <w:u w:val="none"/>
              </w:rPr>
            </w:pPr>
          </w:p>
        </w:tc>
        <w:tc>
          <w:tcPr>
            <w:tcW w:w="4726" w:type="dxa"/>
            <w:shd w:val="clear" w:color="auto" w:fill="auto"/>
            <w:vAlign w:val="center"/>
          </w:tcPr>
          <w:p>
            <w:pPr>
              <w:keepNext w:val="0"/>
              <w:keepLines w:val="0"/>
              <w:widowControl/>
              <w:suppressLineNumbers w:val="0"/>
              <w:jc w:val="righ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6" w:hRule="atLeast"/>
        </w:trPr>
        <w:tc>
          <w:tcPr>
            <w:tcW w:w="9460" w:type="dxa"/>
            <w:gridSpan w:val="2"/>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 w:hRule="atLeast"/>
        </w:trPr>
        <w:tc>
          <w:tcPr>
            <w:tcW w:w="4734"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   </w:t>
            </w:r>
          </w:p>
        </w:tc>
        <w:tc>
          <w:tcPr>
            <w:tcW w:w="4726"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4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2016年预算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行政经费</w:t>
            </w:r>
          </w:p>
        </w:tc>
        <w:tc>
          <w:tcPr>
            <w:tcW w:w="4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“三公”经费</w:t>
            </w:r>
          </w:p>
        </w:tc>
        <w:tc>
          <w:tcPr>
            <w:tcW w:w="4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其中：（一）因公出国（境）支出</w:t>
            </w:r>
          </w:p>
        </w:tc>
        <w:tc>
          <w:tcPr>
            <w:tcW w:w="4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（二）公务用车购置及运行维护支出</w:t>
            </w:r>
          </w:p>
        </w:tc>
        <w:tc>
          <w:tcPr>
            <w:tcW w:w="4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1.公务用车购置</w:t>
            </w:r>
          </w:p>
        </w:tc>
        <w:tc>
          <w:tcPr>
            <w:tcW w:w="4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2.公务用车运行维护费</w:t>
            </w:r>
          </w:p>
        </w:tc>
        <w:tc>
          <w:tcPr>
            <w:tcW w:w="4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（三）公务接待费支出</w:t>
            </w:r>
          </w:p>
        </w:tc>
        <w:tc>
          <w:tcPr>
            <w:tcW w:w="4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473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4"/>
                <w:szCs w:val="24"/>
                <w:u w:val="none"/>
              </w:rPr>
            </w:pPr>
          </w:p>
        </w:tc>
        <w:tc>
          <w:tcPr>
            <w:tcW w:w="472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9460" w:type="dxa"/>
            <w:gridSpan w:val="2"/>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99" w:hRule="atLeast"/>
        </w:trPr>
        <w:tc>
          <w:tcPr>
            <w:tcW w:w="946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Style w:val="5"/>
                <w:lang w:val="en-US" w:eastAsia="zh-CN" w:bidi="ar"/>
              </w:rP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2）一般行政管理项目支出。具体包括出国费、招待费、会议费、办公用房维修租赁、购置费（包括设备、计算机、车辆等）、干部培训费、执法部门办案费、信息网络运行维护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38" w:hRule="atLeast"/>
        </w:trPr>
        <w:tc>
          <w:tcPr>
            <w:tcW w:w="9460" w:type="dxa"/>
            <w:gridSpan w:val="2"/>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w:t>
            </w:r>
            <w:r>
              <w:rPr>
                <w:rStyle w:val="5"/>
                <w:lang w:val="en-US" w:eastAsia="zh-CN" w:bidi="ar"/>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pPr>
        <w:jc w:val="both"/>
      </w:pPr>
    </w:p>
    <w:tbl>
      <w:tblPr>
        <w:tblStyle w:val="3"/>
        <w:tblW w:w="9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98"/>
        <w:gridCol w:w="2094"/>
        <w:gridCol w:w="1139"/>
        <w:gridCol w:w="3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2" w:hRule="atLeast"/>
        </w:trPr>
        <w:tc>
          <w:tcPr>
            <w:tcW w:w="9460" w:type="dxa"/>
            <w:gridSpan w:val="4"/>
            <w:shd w:val="clear" w:color="auto" w:fill="auto"/>
            <w:vAlign w:val="center"/>
          </w:tcPr>
          <w:p>
            <w:pPr>
              <w:keepNext w:val="0"/>
              <w:keepLines w:val="0"/>
              <w:widowControl/>
              <w:suppressLineNumbers w:val="0"/>
              <w:jc w:val="righ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9460"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2016年政府性基金预算支出情况表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2" w:hRule="atLeast"/>
        </w:trPr>
        <w:tc>
          <w:tcPr>
            <w:tcW w:w="3098"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单位名称：   </w:t>
            </w:r>
          </w:p>
        </w:tc>
        <w:tc>
          <w:tcPr>
            <w:tcW w:w="2094"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139" w:type="dxa"/>
            <w:tcBorders>
              <w:bottom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129" w:type="dxa"/>
            <w:tcBorders>
              <w:bottom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1" w:hRule="atLeast"/>
        </w:trPr>
        <w:tc>
          <w:tcPr>
            <w:tcW w:w="30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2"/>
                <w:szCs w:val="22"/>
                <w:u w:val="none"/>
              </w:rPr>
            </w:pPr>
            <w:r>
              <w:rPr>
                <w:rFonts w:hint="eastAsia" w:ascii="黑体" w:hAnsi="宋体" w:eastAsia="黑体" w:cs="黑体"/>
                <w:b/>
                <w:i w:val="0"/>
                <w:color w:val="000000"/>
                <w:kern w:val="0"/>
                <w:sz w:val="22"/>
                <w:szCs w:val="22"/>
                <w:u w:val="none"/>
                <w:lang w:val="en-US" w:eastAsia="zh-CN" w:bidi="ar"/>
              </w:rPr>
              <w:t>功能科目名称</w:t>
            </w:r>
          </w:p>
        </w:tc>
        <w:tc>
          <w:tcPr>
            <w:tcW w:w="63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30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b/>
                <w:i w:val="0"/>
                <w:color w:val="000000"/>
                <w:sz w:val="22"/>
                <w:szCs w:val="22"/>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小计</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其中：基本支出</w:t>
            </w: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其中：项目支出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0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0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0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0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0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3098"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3129"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1" w:hRule="atLeast"/>
        </w:trPr>
        <w:tc>
          <w:tcPr>
            <w:tcW w:w="9460" w:type="dxa"/>
            <w:gridSpan w:val="4"/>
            <w:tcBorders>
              <w:top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注：1.如该部门无政府性基金安排的支出，则本表为空。同时按照财政部有关要求，以空表呈报省人代会审议。</w:t>
            </w:r>
          </w:p>
        </w:tc>
      </w:tr>
    </w:tbl>
    <w:p>
      <w:pPr>
        <w:jc w:val="both"/>
      </w:pPr>
    </w:p>
    <w:p>
      <w:pPr>
        <w:jc w:val="both"/>
      </w:pPr>
    </w:p>
    <w:tbl>
      <w:tblPr>
        <w:tblStyle w:val="3"/>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12"/>
        <w:gridCol w:w="1176"/>
        <w:gridCol w:w="1310"/>
        <w:gridCol w:w="836"/>
        <w:gridCol w:w="1291"/>
        <w:gridCol w:w="818"/>
        <w:gridCol w:w="495"/>
        <w:gridCol w:w="1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8" w:hRule="atLeast"/>
        </w:trPr>
        <w:tc>
          <w:tcPr>
            <w:tcW w:w="2312" w:type="dxa"/>
            <w:shd w:val="clear" w:color="auto" w:fill="auto"/>
            <w:vAlign w:val="bottom"/>
          </w:tcPr>
          <w:p>
            <w:pPr>
              <w:rPr>
                <w:rFonts w:hint="eastAsia" w:ascii="宋体" w:hAnsi="宋体" w:eastAsia="宋体" w:cs="宋体"/>
                <w:i w:val="0"/>
                <w:color w:val="000000"/>
                <w:sz w:val="20"/>
                <w:szCs w:val="20"/>
                <w:u w:val="none"/>
              </w:rPr>
            </w:pPr>
          </w:p>
        </w:tc>
        <w:tc>
          <w:tcPr>
            <w:tcW w:w="1176" w:type="dxa"/>
            <w:shd w:val="clear" w:color="auto" w:fill="auto"/>
            <w:vAlign w:val="bottom"/>
          </w:tcPr>
          <w:p>
            <w:pPr>
              <w:rPr>
                <w:rFonts w:hint="eastAsia" w:ascii="宋体" w:hAnsi="宋体" w:eastAsia="宋体" w:cs="宋体"/>
                <w:i w:val="0"/>
                <w:color w:val="000000"/>
                <w:sz w:val="20"/>
                <w:szCs w:val="20"/>
                <w:u w:val="none"/>
              </w:rPr>
            </w:pPr>
          </w:p>
        </w:tc>
        <w:tc>
          <w:tcPr>
            <w:tcW w:w="1310" w:type="dxa"/>
            <w:shd w:val="clear" w:color="auto" w:fill="auto"/>
            <w:vAlign w:val="bottom"/>
          </w:tcPr>
          <w:p>
            <w:pPr>
              <w:rPr>
                <w:rFonts w:hint="eastAsia" w:ascii="宋体" w:hAnsi="宋体" w:eastAsia="宋体" w:cs="宋体"/>
                <w:i w:val="0"/>
                <w:color w:val="000000"/>
                <w:sz w:val="20"/>
                <w:szCs w:val="20"/>
                <w:u w:val="none"/>
              </w:rPr>
            </w:pPr>
          </w:p>
        </w:tc>
        <w:tc>
          <w:tcPr>
            <w:tcW w:w="836" w:type="dxa"/>
            <w:shd w:val="clear" w:color="auto" w:fill="auto"/>
            <w:vAlign w:val="bottom"/>
          </w:tcPr>
          <w:p>
            <w:pPr>
              <w:rPr>
                <w:rFonts w:hint="eastAsia" w:ascii="宋体" w:hAnsi="宋体" w:eastAsia="宋体" w:cs="宋体"/>
                <w:i w:val="0"/>
                <w:color w:val="000000"/>
                <w:sz w:val="20"/>
                <w:szCs w:val="20"/>
                <w:u w:val="none"/>
              </w:rPr>
            </w:pPr>
          </w:p>
        </w:tc>
        <w:tc>
          <w:tcPr>
            <w:tcW w:w="1291" w:type="dxa"/>
            <w:shd w:val="clear" w:color="auto" w:fill="auto"/>
            <w:vAlign w:val="bottom"/>
          </w:tcPr>
          <w:p>
            <w:pPr>
              <w:rPr>
                <w:rFonts w:hint="eastAsia" w:ascii="宋体" w:hAnsi="宋体" w:eastAsia="宋体" w:cs="宋体"/>
                <w:i w:val="0"/>
                <w:color w:val="000000"/>
                <w:sz w:val="20"/>
                <w:szCs w:val="20"/>
                <w:u w:val="none"/>
              </w:rPr>
            </w:pPr>
          </w:p>
        </w:tc>
        <w:tc>
          <w:tcPr>
            <w:tcW w:w="818" w:type="dxa"/>
            <w:shd w:val="clear" w:color="auto" w:fill="auto"/>
            <w:vAlign w:val="bottom"/>
          </w:tcPr>
          <w:p>
            <w:pPr>
              <w:rPr>
                <w:rFonts w:hint="eastAsia" w:ascii="宋体" w:hAnsi="宋体" w:eastAsia="宋体" w:cs="宋体"/>
                <w:i w:val="0"/>
                <w:color w:val="000000"/>
                <w:sz w:val="20"/>
                <w:szCs w:val="20"/>
                <w:u w:val="none"/>
              </w:rPr>
            </w:pPr>
          </w:p>
        </w:tc>
        <w:tc>
          <w:tcPr>
            <w:tcW w:w="1837"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8" w:hRule="atLeast"/>
        </w:trPr>
        <w:tc>
          <w:tcPr>
            <w:tcW w:w="9580"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2016年部门预算基本支出预算表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0" w:hRule="atLeast"/>
        </w:trPr>
        <w:tc>
          <w:tcPr>
            <w:tcW w:w="2312"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w:t>
            </w:r>
          </w:p>
        </w:tc>
        <w:tc>
          <w:tcPr>
            <w:tcW w:w="1176" w:type="dxa"/>
            <w:shd w:val="clear" w:color="auto" w:fill="auto"/>
            <w:vAlign w:val="bottom"/>
          </w:tcPr>
          <w:p>
            <w:pPr>
              <w:rPr>
                <w:rFonts w:hint="eastAsia" w:ascii="宋体" w:hAnsi="宋体" w:eastAsia="宋体" w:cs="宋体"/>
                <w:i w:val="0"/>
                <w:color w:val="000000"/>
                <w:sz w:val="24"/>
                <w:szCs w:val="24"/>
                <w:u w:val="none"/>
              </w:rPr>
            </w:pPr>
          </w:p>
        </w:tc>
        <w:tc>
          <w:tcPr>
            <w:tcW w:w="1310" w:type="dxa"/>
            <w:shd w:val="clear" w:color="auto" w:fill="auto"/>
            <w:vAlign w:val="bottom"/>
          </w:tcPr>
          <w:p>
            <w:pPr>
              <w:rPr>
                <w:rFonts w:hint="eastAsia" w:ascii="宋体" w:hAnsi="宋体" w:eastAsia="宋体" w:cs="宋体"/>
                <w:i w:val="0"/>
                <w:color w:val="000000"/>
                <w:sz w:val="24"/>
                <w:szCs w:val="24"/>
                <w:u w:val="none"/>
              </w:rPr>
            </w:pPr>
          </w:p>
        </w:tc>
        <w:tc>
          <w:tcPr>
            <w:tcW w:w="836" w:type="dxa"/>
            <w:shd w:val="clear" w:color="auto" w:fill="auto"/>
            <w:vAlign w:val="bottom"/>
          </w:tcPr>
          <w:p>
            <w:pPr>
              <w:rPr>
                <w:rFonts w:hint="eastAsia" w:ascii="宋体" w:hAnsi="宋体" w:eastAsia="宋体" w:cs="宋体"/>
                <w:i w:val="0"/>
                <w:color w:val="000000"/>
                <w:sz w:val="24"/>
                <w:szCs w:val="24"/>
                <w:u w:val="none"/>
              </w:rPr>
            </w:pPr>
          </w:p>
        </w:tc>
        <w:tc>
          <w:tcPr>
            <w:tcW w:w="1291" w:type="dxa"/>
            <w:shd w:val="clear" w:color="auto" w:fill="auto"/>
            <w:vAlign w:val="bottom"/>
          </w:tcPr>
          <w:p>
            <w:pPr>
              <w:rPr>
                <w:rFonts w:hint="eastAsia" w:ascii="宋体" w:hAnsi="宋体" w:eastAsia="宋体" w:cs="宋体"/>
                <w:i w:val="0"/>
                <w:color w:val="000000"/>
                <w:sz w:val="24"/>
                <w:szCs w:val="24"/>
                <w:u w:val="none"/>
              </w:rPr>
            </w:pPr>
          </w:p>
        </w:tc>
        <w:tc>
          <w:tcPr>
            <w:tcW w:w="1313" w:type="dxa"/>
            <w:gridSpan w:val="2"/>
            <w:shd w:val="clear" w:color="auto" w:fill="auto"/>
            <w:vAlign w:val="bottom"/>
          </w:tcPr>
          <w:p>
            <w:pPr>
              <w:rPr>
                <w:rFonts w:hint="eastAsia" w:ascii="宋体" w:hAnsi="宋体" w:eastAsia="宋体" w:cs="宋体"/>
                <w:i w:val="0"/>
                <w:color w:val="000000"/>
                <w:sz w:val="24"/>
                <w:szCs w:val="24"/>
                <w:u w:val="none"/>
              </w:rPr>
            </w:pPr>
          </w:p>
        </w:tc>
        <w:tc>
          <w:tcPr>
            <w:tcW w:w="1342"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7" w:hRule="atLeast"/>
        </w:trPr>
        <w:tc>
          <w:tcPr>
            <w:tcW w:w="2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支出项目类别（资金使用单位）</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34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13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财政专户拨款</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2" w:hRule="atLeast"/>
        </w:trPr>
        <w:tc>
          <w:tcPr>
            <w:tcW w:w="2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w:t>
            </w:r>
          </w:p>
        </w:tc>
        <w:tc>
          <w:tcPr>
            <w:tcW w:w="13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7" w:hRule="atLeast"/>
        </w:trPr>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7" w:hRule="atLeast"/>
        </w:trPr>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192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192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7" w:hRule="atLeast"/>
        </w:trPr>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罗定市图书馆</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192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192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color w:val="000000"/>
                <w:sz w:val="24"/>
                <w:szCs w:val="24"/>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7" w:hRule="atLeast"/>
        </w:trPr>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工资福利性支出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7" w:hRule="atLeast"/>
        </w:trPr>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商品和服务支出</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对个人和家庭补助</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7" w:hRule="atLeast"/>
        </w:trPr>
        <w:tc>
          <w:tcPr>
            <w:tcW w:w="2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jc w:val="both"/>
      </w:pPr>
    </w:p>
    <w:tbl>
      <w:tblPr>
        <w:tblStyle w:val="3"/>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43"/>
        <w:gridCol w:w="1056"/>
        <w:gridCol w:w="782"/>
        <w:gridCol w:w="782"/>
        <w:gridCol w:w="781"/>
        <w:gridCol w:w="850"/>
        <w:gridCol w:w="783"/>
        <w:gridCol w:w="23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1" w:hRule="atLeast"/>
        </w:trPr>
        <w:tc>
          <w:tcPr>
            <w:tcW w:w="2343" w:type="dxa"/>
            <w:shd w:val="clear" w:color="auto" w:fill="auto"/>
            <w:vAlign w:val="bottom"/>
          </w:tcPr>
          <w:p>
            <w:pPr>
              <w:rPr>
                <w:rFonts w:hint="eastAsia" w:ascii="宋体" w:hAnsi="宋体" w:eastAsia="宋体" w:cs="宋体"/>
                <w:i w:val="0"/>
                <w:color w:val="000000"/>
                <w:sz w:val="20"/>
                <w:szCs w:val="20"/>
                <w:u w:val="none"/>
              </w:rPr>
            </w:pPr>
          </w:p>
        </w:tc>
        <w:tc>
          <w:tcPr>
            <w:tcW w:w="1056" w:type="dxa"/>
            <w:shd w:val="clear" w:color="auto" w:fill="auto"/>
            <w:vAlign w:val="bottom"/>
          </w:tcPr>
          <w:p>
            <w:pPr>
              <w:rPr>
                <w:rFonts w:hint="eastAsia" w:ascii="宋体" w:hAnsi="宋体" w:eastAsia="宋体" w:cs="宋体"/>
                <w:i w:val="0"/>
                <w:color w:val="000000"/>
                <w:sz w:val="20"/>
                <w:szCs w:val="20"/>
                <w:u w:val="none"/>
              </w:rPr>
            </w:pPr>
          </w:p>
        </w:tc>
        <w:tc>
          <w:tcPr>
            <w:tcW w:w="782" w:type="dxa"/>
            <w:shd w:val="clear" w:color="auto" w:fill="auto"/>
            <w:vAlign w:val="bottom"/>
          </w:tcPr>
          <w:p>
            <w:pPr>
              <w:rPr>
                <w:rFonts w:hint="eastAsia" w:ascii="宋体" w:hAnsi="宋体" w:eastAsia="宋体" w:cs="宋体"/>
                <w:i w:val="0"/>
                <w:color w:val="000000"/>
                <w:sz w:val="20"/>
                <w:szCs w:val="20"/>
                <w:u w:val="none"/>
              </w:rPr>
            </w:pPr>
          </w:p>
        </w:tc>
        <w:tc>
          <w:tcPr>
            <w:tcW w:w="782" w:type="dxa"/>
            <w:shd w:val="clear" w:color="auto" w:fill="auto"/>
            <w:vAlign w:val="bottom"/>
          </w:tcPr>
          <w:p>
            <w:pPr>
              <w:rPr>
                <w:rFonts w:hint="eastAsia" w:ascii="宋体" w:hAnsi="宋体" w:eastAsia="宋体" w:cs="宋体"/>
                <w:i w:val="0"/>
                <w:color w:val="000000"/>
                <w:sz w:val="20"/>
                <w:szCs w:val="20"/>
                <w:u w:val="none"/>
              </w:rPr>
            </w:pPr>
          </w:p>
        </w:tc>
        <w:tc>
          <w:tcPr>
            <w:tcW w:w="781" w:type="dxa"/>
            <w:shd w:val="clear" w:color="auto" w:fill="auto"/>
            <w:vAlign w:val="bottom"/>
          </w:tcPr>
          <w:p>
            <w:pPr>
              <w:rPr>
                <w:rFonts w:hint="eastAsia" w:ascii="宋体" w:hAnsi="宋体" w:eastAsia="宋体" w:cs="宋体"/>
                <w:i w:val="0"/>
                <w:color w:val="000000"/>
                <w:sz w:val="20"/>
                <w:szCs w:val="20"/>
                <w:u w:val="none"/>
              </w:rPr>
            </w:pPr>
          </w:p>
        </w:tc>
        <w:tc>
          <w:tcPr>
            <w:tcW w:w="850" w:type="dxa"/>
            <w:shd w:val="clear" w:color="auto" w:fill="auto"/>
            <w:vAlign w:val="bottom"/>
          </w:tcPr>
          <w:p>
            <w:pPr>
              <w:rPr>
                <w:rFonts w:hint="eastAsia" w:ascii="宋体" w:hAnsi="宋体" w:eastAsia="宋体" w:cs="宋体"/>
                <w:i w:val="0"/>
                <w:color w:val="000000"/>
                <w:sz w:val="20"/>
                <w:szCs w:val="20"/>
                <w:u w:val="none"/>
              </w:rPr>
            </w:pPr>
          </w:p>
        </w:tc>
        <w:tc>
          <w:tcPr>
            <w:tcW w:w="783" w:type="dxa"/>
            <w:shd w:val="clear" w:color="auto" w:fill="auto"/>
            <w:vAlign w:val="bottom"/>
          </w:tcPr>
          <w:p>
            <w:pPr>
              <w:rPr>
                <w:rFonts w:hint="eastAsia" w:ascii="宋体" w:hAnsi="宋体" w:eastAsia="宋体" w:cs="宋体"/>
                <w:i w:val="0"/>
                <w:color w:val="000000"/>
                <w:sz w:val="20"/>
                <w:szCs w:val="20"/>
                <w:u w:val="none"/>
              </w:rPr>
            </w:pPr>
          </w:p>
        </w:tc>
        <w:tc>
          <w:tcPr>
            <w:tcW w:w="234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3" w:hRule="atLeast"/>
        </w:trPr>
        <w:tc>
          <w:tcPr>
            <w:tcW w:w="9720" w:type="dxa"/>
            <w:gridSpan w:val="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2016年部门预算项目支出及其他支出预算表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8" w:hRule="atLeast"/>
        </w:trPr>
        <w:tc>
          <w:tcPr>
            <w:tcW w:w="2343" w:type="dxa"/>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单位名称：</w:t>
            </w:r>
          </w:p>
        </w:tc>
        <w:tc>
          <w:tcPr>
            <w:tcW w:w="1056" w:type="dxa"/>
            <w:shd w:val="clear" w:color="auto" w:fill="auto"/>
            <w:vAlign w:val="bottom"/>
          </w:tcPr>
          <w:p>
            <w:pPr>
              <w:rPr>
                <w:rFonts w:hint="eastAsia" w:ascii="宋体" w:hAnsi="宋体" w:eastAsia="宋体" w:cs="宋体"/>
                <w:i w:val="0"/>
                <w:color w:val="000000"/>
                <w:sz w:val="24"/>
                <w:szCs w:val="24"/>
                <w:u w:val="none"/>
              </w:rPr>
            </w:pPr>
          </w:p>
        </w:tc>
        <w:tc>
          <w:tcPr>
            <w:tcW w:w="782" w:type="dxa"/>
            <w:shd w:val="clear" w:color="auto" w:fill="auto"/>
            <w:vAlign w:val="bottom"/>
          </w:tcPr>
          <w:p>
            <w:pPr>
              <w:rPr>
                <w:rFonts w:hint="eastAsia" w:ascii="宋体" w:hAnsi="宋体" w:eastAsia="宋体" w:cs="宋体"/>
                <w:i w:val="0"/>
                <w:color w:val="000000"/>
                <w:sz w:val="24"/>
                <w:szCs w:val="24"/>
                <w:u w:val="none"/>
              </w:rPr>
            </w:pPr>
          </w:p>
        </w:tc>
        <w:tc>
          <w:tcPr>
            <w:tcW w:w="782" w:type="dxa"/>
            <w:shd w:val="clear" w:color="auto" w:fill="auto"/>
            <w:vAlign w:val="bottom"/>
          </w:tcPr>
          <w:p>
            <w:pPr>
              <w:rPr>
                <w:rFonts w:hint="eastAsia" w:ascii="宋体" w:hAnsi="宋体" w:eastAsia="宋体" w:cs="宋体"/>
                <w:i w:val="0"/>
                <w:color w:val="000000"/>
                <w:sz w:val="24"/>
                <w:szCs w:val="24"/>
                <w:u w:val="none"/>
              </w:rPr>
            </w:pPr>
          </w:p>
        </w:tc>
        <w:tc>
          <w:tcPr>
            <w:tcW w:w="781" w:type="dxa"/>
            <w:shd w:val="clear" w:color="auto" w:fill="auto"/>
            <w:vAlign w:val="bottom"/>
          </w:tcPr>
          <w:p>
            <w:pPr>
              <w:rPr>
                <w:rFonts w:hint="eastAsia" w:ascii="宋体" w:hAnsi="宋体" w:eastAsia="宋体" w:cs="宋体"/>
                <w:i w:val="0"/>
                <w:color w:val="000000"/>
                <w:sz w:val="24"/>
                <w:szCs w:val="24"/>
                <w:u w:val="none"/>
              </w:rPr>
            </w:pPr>
          </w:p>
        </w:tc>
        <w:tc>
          <w:tcPr>
            <w:tcW w:w="850" w:type="dxa"/>
            <w:shd w:val="clear" w:color="auto" w:fill="auto"/>
            <w:vAlign w:val="bottom"/>
          </w:tcPr>
          <w:p>
            <w:pPr>
              <w:rPr>
                <w:rFonts w:hint="eastAsia" w:ascii="宋体" w:hAnsi="宋体" w:eastAsia="宋体" w:cs="宋体"/>
                <w:i w:val="0"/>
                <w:color w:val="000000"/>
                <w:sz w:val="24"/>
                <w:szCs w:val="24"/>
                <w:u w:val="none"/>
              </w:rPr>
            </w:pPr>
          </w:p>
        </w:tc>
        <w:tc>
          <w:tcPr>
            <w:tcW w:w="783" w:type="dxa"/>
            <w:shd w:val="clear" w:color="auto" w:fill="auto"/>
            <w:vAlign w:val="bottom"/>
          </w:tcPr>
          <w:p>
            <w:pPr>
              <w:rPr>
                <w:rFonts w:hint="eastAsia" w:ascii="宋体" w:hAnsi="宋体" w:eastAsia="宋体" w:cs="宋体"/>
                <w:i w:val="0"/>
                <w:color w:val="000000"/>
                <w:sz w:val="24"/>
                <w:szCs w:val="24"/>
                <w:u w:val="none"/>
              </w:rPr>
            </w:pPr>
          </w:p>
        </w:tc>
        <w:tc>
          <w:tcPr>
            <w:tcW w:w="2343"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2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支出项目类别（资金使用单位）</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总计</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财政拨款</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财政专户拨款</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其他资金</w:t>
            </w:r>
          </w:p>
        </w:tc>
        <w:tc>
          <w:tcPr>
            <w:tcW w:w="23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9" w:hRule="atLeast"/>
        </w:trPr>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一般公共预算</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政府性基金预算</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罗定市XX局</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（项目名称3）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4" w:hRule="atLeast"/>
        </w:trPr>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（下级单位2）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ind w:firstLine="1320" w:firstLineChars="300"/>
        <w:jc w:val="both"/>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2016年部门预算情况说明</w:t>
      </w:r>
    </w:p>
    <w:p>
      <w:pPr>
        <w:jc w:val="both"/>
        <w:rPr>
          <w:rFonts w:hint="eastAsia" w:ascii="方正小标宋简体" w:hAnsi="方正小标宋简体" w:eastAsia="方正小标宋简体" w:cs="方正小标宋简体"/>
          <w:sz w:val="44"/>
          <w:szCs w:val="44"/>
          <w:lang w:val="en-US" w:eastAsia="zh-CN"/>
        </w:rPr>
      </w:pP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ilvl w:val="0"/>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2016年本部门收入预算192万元，比上年增加35万元，增长率为22%，主要原因人员工资增加和共享工程费用增大。是单位预算增加；支出预算192万元，比上年增加35万元，增长率22%，主要原因是人员工资增加和共享工程费用增大。</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2016年本部门“三公”经费预算安排5万元，与上年持平。其中：因公出国（境）费0万元，与上年保持不变；公务用车购置及运行费0万元，公务接待费5万元，与上年保持不变。</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机关事业运行经费安排60万元，比上年增加1万元，增长1.6%，主要原因是水电费支出增大了1万元。其中：办公费4万元，印刷费1万元，邮电费5万元，差旅费2万元，日常维修费3万元，培训费4万元，购书、报纸杂志及一般设备购置费25万元，办公用房水电费11万元，公务接待费5万元，等。</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2016年本部门政府采购安排0万元，其中：货物类采购预算0万元，工程类采购预算0万元，服务类采购预算0万元等。</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截至2015年12月31日，本部门占有使用国有资产总体情况为：709.63万元，分布构成情况为：709.63万元，主要实物资产数据情况为：469.75万元，资产变动情况为：28.60万元。</w:t>
      </w:r>
    </w:p>
    <w:p>
      <w:pPr>
        <w:numPr>
          <w:ilvl w:val="0"/>
          <w:numId w:val="5"/>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2016年，本部门部没有进行预算绩效信息公开的有关工作情况。</w:t>
      </w:r>
    </w:p>
    <w:p>
      <w:pPr>
        <w:jc w:val="center"/>
        <w:rPr>
          <w:rFonts w:hint="eastAsia" w:ascii="方正小标宋简体" w:hAnsi="方正小标宋简体" w:eastAsia="方正小标宋简体" w:cs="方正小标宋简体"/>
          <w:sz w:val="44"/>
          <w:szCs w:val="44"/>
          <w:lang w:val="en-US" w:eastAsia="zh-CN"/>
        </w:rPr>
      </w:pPr>
    </w:p>
    <w:p>
      <w:pPr>
        <w:numPr>
          <w:ilvl w:val="0"/>
          <w:numId w:val="6"/>
        </w:num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w:t>
      </w:r>
      <w:bookmarkStart w:id="0" w:name="_GoBack"/>
      <w:bookmarkEnd w:id="0"/>
      <w:r>
        <w:rPr>
          <w:rFonts w:hint="eastAsia" w:ascii="仿宋_GB2312" w:eastAsia="仿宋_GB2312"/>
          <w:sz w:val="32"/>
          <w:szCs w:val="32"/>
        </w:rPr>
        <w:t>对公开内容中涉及的专业名词进行解释</w:t>
      </w:r>
      <w:r>
        <w:rPr>
          <w:rFonts w:hint="eastAsia" w:ascii="仿宋_GB2312" w:eastAsia="仿宋_GB2312"/>
          <w:sz w:val="32"/>
          <w:szCs w:val="32"/>
          <w:lang w:eastAsia="zh-CN"/>
        </w:rPr>
        <w:t>：</w:t>
      </w:r>
    </w:p>
    <w:p>
      <w:pPr>
        <w:numPr>
          <w:ilvl w:val="0"/>
          <w:numId w:val="7"/>
        </w:numPr>
        <w:spacing w:line="288" w:lineRule="auto"/>
        <w:ind w:firstLine="630" w:firstLineChars="196"/>
        <w:rPr>
          <w:rFonts w:hint="eastAsia"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r>
        <w:rPr>
          <w:rFonts w:hint="eastAsia" w:ascii="仿宋_GB2312" w:eastAsia="仿宋_GB2312"/>
          <w:sz w:val="32"/>
          <w:szCs w:val="32"/>
        </w:rPr>
        <w:t>……</w:t>
      </w:r>
    </w:p>
    <w:p>
      <w:pPr>
        <w:rPr>
          <w:rFonts w:ascii="方正小标宋简体" w:eastAsia="方正小标宋简体"/>
          <w:sz w:val="44"/>
          <w:szCs w:val="44"/>
        </w:rPr>
      </w:pPr>
    </w:p>
    <w:p>
      <w:pPr>
        <w:numPr>
          <w:ilvl w:val="0"/>
          <w:numId w:val="0"/>
        </w:numPr>
        <w:ind w:firstLine="640"/>
        <w:jc w:val="both"/>
        <w:rPr>
          <w:rFonts w:hint="eastAsia" w:ascii="仿宋_GB2312" w:hAnsi="仿宋_GB2312" w:eastAsia="仿宋_GB2312" w:cs="仿宋_GB2312"/>
          <w:sz w:val="32"/>
          <w:szCs w:val="32"/>
          <w:lang w:val="en-US" w:eastAsia="zh-CN"/>
        </w:rPr>
      </w:pPr>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C66A6D"/>
    <w:multiLevelType w:val="singleLevel"/>
    <w:tmpl w:val="F1C66A6D"/>
    <w:lvl w:ilvl="0" w:tentative="0">
      <w:start w:val="4"/>
      <w:numFmt w:val="chineseCounting"/>
      <w:suff w:val="space"/>
      <w:lvlText w:val="第%1部分"/>
      <w:lvlJc w:val="left"/>
      <w:rPr>
        <w:rFonts w:hint="eastAsia"/>
      </w:rPr>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5F2BFF"/>
    <w:multiLevelType w:val="singleLevel"/>
    <w:tmpl w:val="5A5F2BFF"/>
    <w:lvl w:ilvl="0" w:tentative="0">
      <w:start w:val="1"/>
      <w:numFmt w:val="chineseCounting"/>
      <w:suff w:val="nothing"/>
      <w:lvlText w:val="（%1）"/>
      <w:lvlJc w:val="left"/>
    </w:lvl>
  </w:abstractNum>
  <w:abstractNum w:abstractNumId="5">
    <w:nsid w:val="5A5F50C1"/>
    <w:multiLevelType w:val="singleLevel"/>
    <w:tmpl w:val="5A5F50C1"/>
    <w:lvl w:ilvl="0" w:tentative="0">
      <w:start w:val="1"/>
      <w:numFmt w:val="chineseCounting"/>
      <w:suff w:val="nothing"/>
      <w:lvlText w:val="%1、"/>
      <w:lvlJc w:val="left"/>
    </w:lvl>
  </w:abstractNum>
  <w:abstractNum w:abstractNumId="6">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933"/>
    <w:rsid w:val="00E40A31"/>
    <w:rsid w:val="015E6ED2"/>
    <w:rsid w:val="018E2510"/>
    <w:rsid w:val="01D3160B"/>
    <w:rsid w:val="03D944B3"/>
    <w:rsid w:val="03DB3566"/>
    <w:rsid w:val="045068E2"/>
    <w:rsid w:val="06BA6C71"/>
    <w:rsid w:val="06DB3346"/>
    <w:rsid w:val="07B00AF8"/>
    <w:rsid w:val="093614F3"/>
    <w:rsid w:val="09A67E4C"/>
    <w:rsid w:val="09B651F2"/>
    <w:rsid w:val="0C3B60A3"/>
    <w:rsid w:val="0C3D747E"/>
    <w:rsid w:val="0CDB6B53"/>
    <w:rsid w:val="0D3545FE"/>
    <w:rsid w:val="0D3D17B1"/>
    <w:rsid w:val="0D9E06BC"/>
    <w:rsid w:val="0E28334D"/>
    <w:rsid w:val="0E313458"/>
    <w:rsid w:val="0EBB27A0"/>
    <w:rsid w:val="13016A31"/>
    <w:rsid w:val="14B82272"/>
    <w:rsid w:val="1618153D"/>
    <w:rsid w:val="16F368E3"/>
    <w:rsid w:val="16FD023C"/>
    <w:rsid w:val="18397C5A"/>
    <w:rsid w:val="1A0C2086"/>
    <w:rsid w:val="1A2B55F7"/>
    <w:rsid w:val="1CCF5355"/>
    <w:rsid w:val="1DD21A46"/>
    <w:rsid w:val="1E153C8F"/>
    <w:rsid w:val="1E2F54DC"/>
    <w:rsid w:val="1E4F434A"/>
    <w:rsid w:val="1F3D244C"/>
    <w:rsid w:val="1F883A32"/>
    <w:rsid w:val="20EE6A13"/>
    <w:rsid w:val="227B7B2D"/>
    <w:rsid w:val="231E3D6C"/>
    <w:rsid w:val="250024EF"/>
    <w:rsid w:val="258E0810"/>
    <w:rsid w:val="26D307D7"/>
    <w:rsid w:val="275B2FAF"/>
    <w:rsid w:val="280F6206"/>
    <w:rsid w:val="2B40650F"/>
    <w:rsid w:val="2BA06076"/>
    <w:rsid w:val="2D4322FE"/>
    <w:rsid w:val="2DEB179E"/>
    <w:rsid w:val="30443B62"/>
    <w:rsid w:val="316F01FC"/>
    <w:rsid w:val="32625867"/>
    <w:rsid w:val="330C0417"/>
    <w:rsid w:val="33142D9D"/>
    <w:rsid w:val="3429283A"/>
    <w:rsid w:val="36E602DD"/>
    <w:rsid w:val="37270969"/>
    <w:rsid w:val="37403D00"/>
    <w:rsid w:val="37C44900"/>
    <w:rsid w:val="380A72C3"/>
    <w:rsid w:val="38172B84"/>
    <w:rsid w:val="390B45AF"/>
    <w:rsid w:val="3A1E0E34"/>
    <w:rsid w:val="3A474335"/>
    <w:rsid w:val="3ABB401F"/>
    <w:rsid w:val="3AE62815"/>
    <w:rsid w:val="3B2A4C3E"/>
    <w:rsid w:val="3C0D49C6"/>
    <w:rsid w:val="400644E7"/>
    <w:rsid w:val="423E6341"/>
    <w:rsid w:val="4430040D"/>
    <w:rsid w:val="44E72D79"/>
    <w:rsid w:val="45D60DF5"/>
    <w:rsid w:val="470B46C0"/>
    <w:rsid w:val="472E22F6"/>
    <w:rsid w:val="47CF751A"/>
    <w:rsid w:val="48C46D56"/>
    <w:rsid w:val="49865B4A"/>
    <w:rsid w:val="4AF646C6"/>
    <w:rsid w:val="4B406DED"/>
    <w:rsid w:val="4B9331C8"/>
    <w:rsid w:val="4BAB1ADF"/>
    <w:rsid w:val="4C350D8E"/>
    <w:rsid w:val="4C3652E2"/>
    <w:rsid w:val="4D033C15"/>
    <w:rsid w:val="4DC81A1C"/>
    <w:rsid w:val="4ED331AE"/>
    <w:rsid w:val="4F2A2E5C"/>
    <w:rsid w:val="4F4D16C0"/>
    <w:rsid w:val="4F755F02"/>
    <w:rsid w:val="4FE46857"/>
    <w:rsid w:val="50CB6A87"/>
    <w:rsid w:val="52AB00E3"/>
    <w:rsid w:val="54C7609D"/>
    <w:rsid w:val="55A16FC7"/>
    <w:rsid w:val="576C1B97"/>
    <w:rsid w:val="58D1692E"/>
    <w:rsid w:val="5935077F"/>
    <w:rsid w:val="597F4AD3"/>
    <w:rsid w:val="5A060182"/>
    <w:rsid w:val="5A267961"/>
    <w:rsid w:val="5B9F6DF9"/>
    <w:rsid w:val="5C474C9B"/>
    <w:rsid w:val="5C704071"/>
    <w:rsid w:val="5D6033BF"/>
    <w:rsid w:val="5DD03CF1"/>
    <w:rsid w:val="5E1B6AB4"/>
    <w:rsid w:val="5EDE73F2"/>
    <w:rsid w:val="5FC43AC5"/>
    <w:rsid w:val="60E37A9B"/>
    <w:rsid w:val="60E66162"/>
    <w:rsid w:val="615F00FD"/>
    <w:rsid w:val="618F0664"/>
    <w:rsid w:val="639A392F"/>
    <w:rsid w:val="63D00222"/>
    <w:rsid w:val="63DA3D6C"/>
    <w:rsid w:val="64604CC0"/>
    <w:rsid w:val="65611892"/>
    <w:rsid w:val="657519AE"/>
    <w:rsid w:val="66D06120"/>
    <w:rsid w:val="67F56454"/>
    <w:rsid w:val="680939DD"/>
    <w:rsid w:val="697D7516"/>
    <w:rsid w:val="6A696C84"/>
    <w:rsid w:val="6A8F7FBD"/>
    <w:rsid w:val="6D9B07DA"/>
    <w:rsid w:val="6D9D4134"/>
    <w:rsid w:val="6E2547B6"/>
    <w:rsid w:val="6E467728"/>
    <w:rsid w:val="6EA3602E"/>
    <w:rsid w:val="7021496C"/>
    <w:rsid w:val="70730779"/>
    <w:rsid w:val="7076325F"/>
    <w:rsid w:val="763A02FC"/>
    <w:rsid w:val="794356B0"/>
    <w:rsid w:val="79FC518F"/>
    <w:rsid w:val="7A3D118F"/>
    <w:rsid w:val="7A684B1E"/>
    <w:rsid w:val="7ADF43FD"/>
    <w:rsid w:val="7BF7336D"/>
    <w:rsid w:val="7C2E7B56"/>
    <w:rsid w:val="7C531605"/>
    <w:rsid w:val="7C981314"/>
    <w:rsid w:val="7CDB048E"/>
    <w:rsid w:val="7CEA56CB"/>
    <w:rsid w:val="7DF94292"/>
    <w:rsid w:val="7F8177A1"/>
    <w:rsid w:val="7F8B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41"/>
    <w:basedOn w:val="2"/>
    <w:qFormat/>
    <w:uiPriority w:val="0"/>
    <w:rPr>
      <w:rFonts w:hint="eastAsia" w:ascii="仿宋" w:hAnsi="仿宋" w:eastAsia="仿宋" w:cs="仿宋"/>
      <w:color w:val="000000"/>
      <w:sz w:val="24"/>
      <w:szCs w:val="24"/>
      <w:u w:val="none"/>
    </w:rPr>
  </w:style>
  <w:style w:type="character" w:customStyle="1" w:styleId="5">
    <w:name w:val="font3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秋日思语1420788812</cp:lastModifiedBy>
  <cp:lastPrinted>2018-02-09T07:39:00Z</cp:lastPrinted>
  <dcterms:modified xsi:type="dcterms:W3CDTF">2018-03-30T06:56:23Z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