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罗定第一小学部门预算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罗定第一小学学校概况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罗定第一小学年部门预算表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学校概况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 学校部门职能                                                   </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（1）认真贯彻落实党和国家的方针政策，正确执行上级主管部门的决议和指示，全面实施素质教育，培养德智体美等全面发展的社会主义事业建设者和加班人。</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（2）根据教育规律、社会要求和学校实际，组织制定学校发展的远景规划、近期目标、学年和学期各项工作计划及各项工作指标并组织实施。执行9年义务教育，完成小学阶段的教育教学任务。教书育人。</w:t>
      </w:r>
    </w:p>
    <w:p>
      <w:pPr>
        <w:numPr>
          <w:ilvl w:val="0"/>
          <w:numId w:val="0"/>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本部门无下属单位，部门预算为二级预算单位。</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本部门内设机构、人员构成情况。</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学校机构设置：办公室、教务处、总务处、工会。 </w:t>
      </w:r>
    </w:p>
    <w:p>
      <w:pPr>
        <w:numPr>
          <w:ilvl w:val="0"/>
          <w:numId w:val="0"/>
        </w:numPr>
        <w:ind w:left="0" w:leftChars="0" w:firstLine="838" w:firstLineChars="262"/>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(1)办公室：负责人事、印章、接收上级文件、材料、外联、接洽工作。 </w:t>
      </w:r>
    </w:p>
    <w:p>
      <w:pPr>
        <w:numPr>
          <w:ilvl w:val="0"/>
          <w:numId w:val="0"/>
        </w:numPr>
        <w:ind w:left="0" w:leftChars="0" w:firstLine="8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(2)教务处：负责教务处全面工作，分管学生学籍管理工作。负责教师常规教学管理、教学档案资料的管理、学校场室的管理工作（图书馆、文印室、电脑室、体育室）、教师考勤管理工作。</w:t>
      </w:r>
    </w:p>
    <w:p>
      <w:pPr>
        <w:numPr>
          <w:ilvl w:val="0"/>
          <w:numId w:val="0"/>
        </w:numPr>
        <w:ind w:left="0" w:leftChars="0" w:firstLine="8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(3)总务处： 做好学校各项收费工作，负责师生开饭、学生住宿管理、学校预算内外经费收支、学校公物采购和保管使用工作、学校卫生、防疫、保健、学校基建、绿化、美化工作。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工会: 负责做好学校工会的日常工作，负责工会换届选举、困难教职工帮扶、组织教职工开展各种活动、政务、校务公开办公室、工会经费审查、教职工计划生育工作。</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我校为事业单位。2016年度我校共有教师93人，其中在职教师92人，退休教师1人。</w:t>
      </w:r>
    </w:p>
    <w:p>
      <w:pPr>
        <w:numPr>
          <w:ilvl w:val="0"/>
          <w:numId w:val="0"/>
        </w:numPr>
        <w:ind w:firstLine="640"/>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highlight w:val="lightGray"/>
          <w:lang w:val="en-US" w:eastAsia="zh-CN"/>
        </w:rPr>
      </w:pPr>
      <w:r>
        <w:rPr>
          <w:rFonts w:hint="eastAsia" w:ascii="黑体" w:hAnsi="黑体" w:eastAsia="黑体" w:cs="黑体"/>
          <w:sz w:val="32"/>
          <w:szCs w:val="32"/>
          <w:lang w:val="en-US" w:eastAsia="zh-CN"/>
        </w:rPr>
        <w:t xml:space="preserve">   </w:t>
      </w:r>
      <w:r>
        <w:rPr>
          <w:rFonts w:hint="eastAsia" w:ascii="方正小标宋简体" w:hAnsi="方正小标宋简体" w:eastAsia="方正小标宋简体" w:cs="方正小标宋简体"/>
          <w:sz w:val="44"/>
          <w:szCs w:val="44"/>
          <w:lang w:val="en-US" w:eastAsia="zh-CN"/>
        </w:rPr>
        <w:t>第二部分  2016年部门预算表</w:t>
      </w:r>
    </w:p>
    <w:p>
      <w:pPr>
        <w:jc w:val="both"/>
      </w:pPr>
    </w:p>
    <w:p>
      <w:pPr>
        <w:jc w:val="both"/>
      </w:pPr>
      <w:r>
        <w:drawing>
          <wp:inline distT="0" distB="0" distL="114300" distR="114300">
            <wp:extent cx="5272405" cy="3778250"/>
            <wp:effectExtent l="0" t="0" r="444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3778250"/>
                    </a:xfrm>
                    <a:prstGeom prst="rect">
                      <a:avLst/>
                    </a:prstGeom>
                    <a:noFill/>
                    <a:ln w="9525">
                      <a:noFill/>
                    </a:ln>
                  </pic:spPr>
                </pic:pic>
              </a:graphicData>
            </a:graphic>
          </wp:inline>
        </w:drawing>
      </w:r>
    </w:p>
    <w:p>
      <w:pPr>
        <w:jc w:val="both"/>
      </w:pPr>
      <w:r>
        <w:drawing>
          <wp:inline distT="0" distB="0" distL="114300" distR="114300">
            <wp:extent cx="5190490" cy="5295265"/>
            <wp:effectExtent l="0" t="0" r="1016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190490" cy="5295265"/>
                    </a:xfrm>
                    <a:prstGeom prst="rect">
                      <a:avLst/>
                    </a:prstGeom>
                    <a:noFill/>
                    <a:ln w="9525">
                      <a:noFill/>
                    </a:ln>
                  </pic:spPr>
                </pic:pic>
              </a:graphicData>
            </a:graphic>
          </wp:inline>
        </w:drawing>
      </w:r>
    </w:p>
    <w:p>
      <w:pPr>
        <w:jc w:val="both"/>
      </w:pPr>
      <w:r>
        <w:drawing>
          <wp:inline distT="0" distB="0" distL="114300" distR="114300">
            <wp:extent cx="4323715" cy="5304790"/>
            <wp:effectExtent l="0" t="0" r="63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323715" cy="5304790"/>
                    </a:xfrm>
                    <a:prstGeom prst="rect">
                      <a:avLst/>
                    </a:prstGeom>
                    <a:noFill/>
                    <a:ln w="9525">
                      <a:noFill/>
                    </a:ln>
                  </pic:spPr>
                </pic:pic>
              </a:graphicData>
            </a:graphic>
          </wp:inline>
        </w:drawing>
      </w:r>
    </w:p>
    <w:p>
      <w:pPr>
        <w:jc w:val="both"/>
      </w:pPr>
      <w:r>
        <w:drawing>
          <wp:inline distT="0" distB="0" distL="114300" distR="114300">
            <wp:extent cx="5270500" cy="2087880"/>
            <wp:effectExtent l="0" t="0" r="635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0500" cy="2087880"/>
                    </a:xfrm>
                    <a:prstGeom prst="rect">
                      <a:avLst/>
                    </a:prstGeom>
                    <a:noFill/>
                    <a:ln w="9525">
                      <a:noFill/>
                    </a:ln>
                  </pic:spPr>
                </pic:pic>
              </a:graphicData>
            </a:graphic>
          </wp:inline>
        </w:drawing>
      </w:r>
    </w:p>
    <w:p>
      <w:pPr>
        <w:jc w:val="both"/>
      </w:pPr>
      <w:r>
        <w:drawing>
          <wp:inline distT="0" distB="0" distL="114300" distR="114300">
            <wp:extent cx="5272405" cy="2339340"/>
            <wp:effectExtent l="0" t="0" r="444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72405" cy="2339340"/>
                    </a:xfrm>
                    <a:prstGeom prst="rect">
                      <a:avLst/>
                    </a:prstGeom>
                    <a:noFill/>
                    <a:ln w="9525">
                      <a:noFill/>
                    </a:ln>
                  </pic:spPr>
                </pic:pic>
              </a:graphicData>
            </a:graphic>
          </wp:inline>
        </w:drawing>
      </w:r>
    </w:p>
    <w:p>
      <w:pPr>
        <w:jc w:val="both"/>
      </w:pPr>
      <w:r>
        <w:drawing>
          <wp:inline distT="0" distB="0" distL="114300" distR="114300">
            <wp:extent cx="4980940" cy="5523865"/>
            <wp:effectExtent l="0" t="0" r="1016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980940" cy="5523865"/>
                    </a:xfrm>
                    <a:prstGeom prst="rect">
                      <a:avLst/>
                    </a:prstGeom>
                    <a:noFill/>
                    <a:ln w="9525">
                      <a:noFill/>
                    </a:ln>
                  </pic:spPr>
                </pic:pic>
              </a:graphicData>
            </a:graphic>
          </wp:inline>
        </w:drawing>
      </w:r>
      <w:r>
        <w:drawing>
          <wp:inline distT="0" distB="0" distL="114300" distR="114300">
            <wp:extent cx="4980940" cy="5628640"/>
            <wp:effectExtent l="0" t="0" r="10160"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980940" cy="5628640"/>
                    </a:xfrm>
                    <a:prstGeom prst="rect">
                      <a:avLst/>
                    </a:prstGeom>
                    <a:noFill/>
                    <a:ln w="9525">
                      <a:noFill/>
                    </a:ln>
                  </pic:spPr>
                </pic:pic>
              </a:graphicData>
            </a:graphic>
          </wp:inline>
        </w:drawing>
      </w:r>
    </w:p>
    <w:p>
      <w:pPr>
        <w:jc w:val="both"/>
      </w:pPr>
      <w:r>
        <w:drawing>
          <wp:inline distT="0" distB="0" distL="114300" distR="114300">
            <wp:extent cx="5019040" cy="5495290"/>
            <wp:effectExtent l="0" t="0" r="1016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5019040" cy="5495290"/>
                    </a:xfrm>
                    <a:prstGeom prst="rect">
                      <a:avLst/>
                    </a:prstGeom>
                    <a:noFill/>
                    <a:ln w="9525">
                      <a:noFill/>
                    </a:ln>
                  </pic:spPr>
                </pic:pic>
              </a:graphicData>
            </a:graphic>
          </wp:inline>
        </w:drawing>
      </w:r>
      <w:r>
        <w:drawing>
          <wp:inline distT="0" distB="0" distL="114300" distR="114300">
            <wp:extent cx="5104765" cy="1143000"/>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5104765" cy="1143000"/>
                    </a:xfrm>
                    <a:prstGeom prst="rect">
                      <a:avLst/>
                    </a:prstGeom>
                    <a:noFill/>
                    <a:ln w="9525">
                      <a:noFill/>
                    </a:ln>
                  </pic:spPr>
                </pic:pic>
              </a:graphicData>
            </a:graphic>
          </wp:inline>
        </w:drawing>
      </w:r>
    </w:p>
    <w:p>
      <w:pPr>
        <w:jc w:val="both"/>
      </w:pPr>
      <w:r>
        <w:drawing>
          <wp:inline distT="0" distB="0" distL="114300" distR="114300">
            <wp:extent cx="5271770" cy="5157470"/>
            <wp:effectExtent l="0" t="0" r="5080" b="508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5271770" cy="5157470"/>
                    </a:xfrm>
                    <a:prstGeom prst="rect">
                      <a:avLst/>
                    </a:prstGeom>
                    <a:noFill/>
                    <a:ln w="9525">
                      <a:noFill/>
                    </a:ln>
                  </pic:spPr>
                </pic:pic>
              </a:graphicData>
            </a:graphic>
          </wp:inline>
        </w:drawing>
      </w:r>
    </w:p>
    <w:p>
      <w:pPr>
        <w:jc w:val="both"/>
      </w:pPr>
      <w:r>
        <w:drawing>
          <wp:inline distT="0" distB="0" distL="114300" distR="114300">
            <wp:extent cx="5269230" cy="3121660"/>
            <wp:effectExtent l="0" t="0" r="762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5269230" cy="3121660"/>
                    </a:xfrm>
                    <a:prstGeom prst="rect">
                      <a:avLst/>
                    </a:prstGeom>
                    <a:noFill/>
                    <a:ln w="9525">
                      <a:noFill/>
                    </a:ln>
                  </pic:spPr>
                </pic:pic>
              </a:graphicData>
            </a:graphic>
          </wp:inline>
        </w:drawing>
      </w:r>
    </w:p>
    <w:p>
      <w:pPr>
        <w:jc w:val="both"/>
      </w:pPr>
      <w:r>
        <w:drawing>
          <wp:inline distT="0" distB="0" distL="114300" distR="114300">
            <wp:extent cx="5267960" cy="2476500"/>
            <wp:effectExtent l="0" t="0" r="889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5267960" cy="2476500"/>
                    </a:xfrm>
                    <a:prstGeom prst="rect">
                      <a:avLst/>
                    </a:prstGeom>
                    <a:noFill/>
                    <a:ln w="9525">
                      <a:noFill/>
                    </a:ln>
                  </pic:spPr>
                </pic:pic>
              </a:graphicData>
            </a:graphic>
          </wp:inline>
        </w:drawing>
      </w:r>
    </w:p>
    <w:p>
      <w:pPr>
        <w:jc w:val="both"/>
        <w:rPr>
          <w:rFonts w:hint="eastAsia" w:ascii="方正小标宋简体" w:hAnsi="方正小标宋简体" w:eastAsia="方正小标宋简体" w:cs="方正小标宋简体"/>
          <w:sz w:val="44"/>
          <w:szCs w:val="44"/>
          <w:lang w:val="en-US" w:eastAsia="zh-CN"/>
        </w:rPr>
      </w:pPr>
      <w:r>
        <w:drawing>
          <wp:inline distT="0" distB="0" distL="114300" distR="114300">
            <wp:extent cx="5267960" cy="2981325"/>
            <wp:effectExtent l="0" t="0" r="889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5267960" cy="2981325"/>
                    </a:xfrm>
                    <a:prstGeom prst="rect">
                      <a:avLst/>
                    </a:prstGeom>
                    <a:noFill/>
                    <a:ln w="9525">
                      <a:noFill/>
                    </a:ln>
                  </pic:spPr>
                </pic:pic>
              </a:graphicData>
            </a:graphic>
          </wp:inline>
        </w:drawing>
      </w: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2016年本部门收入预算115万元，支出预算115万元，本单位上年没有预算数。</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2016年本部门“三公”经费预算安排3万元，本单位上年没有预算数。</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2016年，本部门机关运行经费安排0万元。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2017年本部门政府采购安排0万元。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tabs>
          <w:tab w:val="left" w:pos="8595"/>
        </w:tabs>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截至2015年12月31日，本部门占有使用国有资产总体情况为：133.26元，</w:t>
      </w:r>
      <w:r>
        <w:rPr>
          <w:rFonts w:hint="eastAsia" w:asciiTheme="majorEastAsia" w:hAnsiTheme="majorEastAsia" w:eastAsiaTheme="majorEastAsia" w:cstheme="majorEastAsia"/>
          <w:sz w:val="28"/>
          <w:szCs w:val="28"/>
          <w:lang w:val="en-US" w:eastAsia="zh-CN"/>
        </w:rPr>
        <w:t>分布构成情况为</w:t>
      </w:r>
      <w:r>
        <w:rPr>
          <w:rFonts w:hint="eastAsia" w:ascii="仿宋_GB2312" w:hAnsi="仿宋_GB2312" w:eastAsia="仿宋_GB2312" w:cs="仿宋_GB2312"/>
          <w:sz w:val="28"/>
          <w:szCs w:val="28"/>
          <w:lang w:val="en-US" w:eastAsia="zh-CN"/>
        </w:rPr>
        <w:t>：</w:t>
      </w:r>
      <w:r>
        <w:rPr>
          <w:rFonts w:hint="eastAsia" w:ascii="宋体" w:hAnsi="宋体" w:eastAsia="宋体" w:cs="宋体"/>
          <w:b w:val="0"/>
          <w:bCs/>
          <w:color w:val="000000"/>
          <w:sz w:val="28"/>
          <w:szCs w:val="28"/>
          <w:lang w:eastAsia="zh-CN"/>
        </w:rPr>
        <w:t>其中通用设备</w:t>
      </w:r>
      <w:r>
        <w:rPr>
          <w:rFonts w:hint="eastAsia" w:ascii="宋体" w:hAnsi="宋体" w:eastAsia="宋体" w:cs="宋体"/>
          <w:b w:val="0"/>
          <w:bCs/>
          <w:color w:val="000000"/>
          <w:sz w:val="28"/>
          <w:szCs w:val="28"/>
          <w:lang w:val="en-US" w:eastAsia="zh-CN"/>
        </w:rPr>
        <w:t>0.59</w:t>
      </w:r>
      <w:r>
        <w:rPr>
          <w:rFonts w:hint="eastAsia" w:ascii="宋体" w:hAnsi="宋体" w:eastAsia="宋体" w:cs="宋体"/>
          <w:b w:val="0"/>
          <w:bCs/>
          <w:color w:val="000000"/>
          <w:sz w:val="28"/>
          <w:szCs w:val="28"/>
          <w:lang w:eastAsia="zh-CN"/>
        </w:rPr>
        <w:t>元，专用设备</w:t>
      </w:r>
      <w:r>
        <w:rPr>
          <w:rFonts w:hint="eastAsia" w:ascii="宋体" w:hAnsi="宋体" w:eastAsia="宋体" w:cs="宋体"/>
          <w:b w:val="0"/>
          <w:bCs/>
          <w:color w:val="000000"/>
          <w:sz w:val="28"/>
          <w:szCs w:val="28"/>
          <w:lang w:val="en-US" w:eastAsia="zh-CN"/>
        </w:rPr>
        <w:t>65.38</w:t>
      </w:r>
      <w:r>
        <w:rPr>
          <w:rFonts w:hint="eastAsia" w:ascii="宋体" w:hAnsi="宋体" w:eastAsia="宋体" w:cs="宋体"/>
          <w:b w:val="0"/>
          <w:bCs/>
          <w:color w:val="000000"/>
          <w:sz w:val="28"/>
          <w:szCs w:val="28"/>
          <w:lang w:eastAsia="zh-CN"/>
        </w:rPr>
        <w:t>元，图书档案</w:t>
      </w:r>
      <w:r>
        <w:rPr>
          <w:rFonts w:hint="eastAsia" w:ascii="宋体" w:hAnsi="宋体" w:eastAsia="宋体" w:cs="宋体"/>
          <w:b w:val="0"/>
          <w:bCs/>
          <w:color w:val="000000"/>
          <w:sz w:val="28"/>
          <w:szCs w:val="28"/>
          <w:lang w:val="en-US" w:eastAsia="zh-CN"/>
        </w:rPr>
        <w:t>0.63</w:t>
      </w:r>
      <w:r>
        <w:rPr>
          <w:rFonts w:hint="eastAsia" w:ascii="宋体" w:hAnsi="宋体" w:eastAsia="宋体" w:cs="宋体"/>
          <w:b w:val="0"/>
          <w:bCs/>
          <w:color w:val="000000"/>
          <w:sz w:val="28"/>
          <w:szCs w:val="28"/>
          <w:lang w:eastAsia="zh-CN"/>
        </w:rPr>
        <w:t>元，家具用具装具及动植物</w:t>
      </w:r>
      <w:r>
        <w:rPr>
          <w:rFonts w:hint="eastAsia" w:ascii="宋体" w:hAnsi="宋体" w:eastAsia="宋体" w:cs="宋体"/>
          <w:b w:val="0"/>
          <w:bCs/>
          <w:color w:val="000000"/>
          <w:sz w:val="28"/>
          <w:szCs w:val="28"/>
          <w:lang w:val="en-US" w:eastAsia="zh-CN"/>
        </w:rPr>
        <w:t>66.66</w:t>
      </w:r>
      <w:r>
        <w:rPr>
          <w:rFonts w:hint="eastAsia" w:ascii="宋体" w:hAnsi="宋体" w:eastAsia="宋体" w:cs="宋体"/>
          <w:b w:val="0"/>
          <w:bCs/>
          <w:color w:val="000000"/>
          <w:sz w:val="28"/>
          <w:szCs w:val="28"/>
          <w:lang w:eastAsia="zh-CN"/>
        </w:rPr>
        <w:t>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2016年，本部门无项目绩效考核。</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highlight w:val="lightGray"/>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一、财政拨款收入：指市财政当年拨付的资金。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 事业收入：指事业单位开展专业业务活动及辅助活动</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所取得的收入。</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 经营收入：指事业单位在专业业务活动及其辅助活动</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之外开展非独立核算经营活动取得的收入。</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四、其他收入：指除上述“财政拨款收入”、“事业收入”、“经营收入”等以外的收入。</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五、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六、年初结转和结余：指以前年度尚未完成、结转到本年</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按有关规定继续使用的资金。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七、结余分配：指事业单位按规定提取的职工福利基金、事业基金和缴纳的所得税，以及建设单位按规定应交回的基本建设竣工项目结余资金。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八、年末结转和结余:指本年度或以前年度预算安排、因客观条件发生变化无法按原计划实施，需要延迟到以后年度按有关规定继续使用的资金。</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九、基本支出：指为保障机构正常运转、完成日常工作任务而发生的人员支出和公用支出。</w:t>
      </w:r>
    </w:p>
    <w:p>
      <w:pPr>
        <w:jc w:val="left"/>
        <w:rPr>
          <w:rFonts w:hint="eastAsia" w:ascii="楷体_GB2312" w:hAnsi="楷体_GB2312" w:eastAsia="楷体_GB2312" w:cs="楷体_GB2312"/>
          <w:sz w:val="32"/>
          <w:szCs w:val="32"/>
          <w:highlight w:val="none"/>
          <w:lang w:val="en-US" w:eastAsia="zh-CN"/>
        </w:rPr>
      </w:pP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十、项目支出： 指在基本支出之外为完成特定行政任务和事业发展目标所发生的支出。</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十一、经营支出：指事业单位在专业业务活动及其辅助活动之外开展非独立核算经营活动发生的支出。</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二、“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 （含车辆购置税） 及租用费、燃料费、维修费、过路过桥费、保险费、安全奖励费用等支出；公务接待费反映单位按规定开支的各类公务接待（含外宾接待）支出。</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十四、支出功能分类的科目的解释，可以参考《2015年政府收支分类科目》对各功能分类科目的解释，再结合各单位的实际解释。例如：一般公共服务（类）财政事务（款）机关服务（项）：指财政部机关服务中心为机关提供文件印制、办公楼日常维修维护等后勤保障服务的支出。</w:t>
      </w:r>
    </w:p>
    <w:p>
      <w:pPr>
        <w:ind w:firstLine="640" w:firstLineChars="200"/>
        <w:jc w:val="left"/>
        <w:rPr>
          <w:rFonts w:hint="eastAsia" w:ascii="仿宋_GB2312" w:hAnsi="仿宋_GB2312" w:eastAsia="仿宋_GB2312" w:cs="仿宋_GB2312"/>
          <w:sz w:val="32"/>
          <w:szCs w:val="32"/>
          <w:highlight w:val="none"/>
          <w:shd w:val="clear" w:color="FFFFFF" w:fill="D9D9D9"/>
          <w:lang w:val="en-US" w:eastAsia="zh-CN"/>
          <w14:textFill>
            <w14:noFill/>
          </w14:textFill>
        </w:rPr>
      </w:pPr>
    </w:p>
    <w:p>
      <w:pPr>
        <w:jc w:val="left"/>
        <w:rPr>
          <w:rFonts w:hint="eastAsia" w:ascii="仿宋_GB2312" w:hAnsi="仿宋_GB2312" w:eastAsia="仿宋_GB2312" w:cs="仿宋_GB2312"/>
          <w:sz w:val="32"/>
          <w:szCs w:val="32"/>
          <w:highlight w:val="none"/>
          <w:shd w:val="clear" w:color="FFFFFF" w:fill="D9D9D9"/>
          <w:lang w:val="en-US" w:eastAsia="zh-CN"/>
          <w14:textFill>
            <w14:noFill/>
          </w14:textFill>
        </w:rPr>
      </w:pPr>
    </w:p>
    <w:p>
      <w:pPr>
        <w:ind w:firstLine="640" w:firstLineChars="200"/>
        <w:jc w:val="left"/>
        <w:rPr>
          <w:rFonts w:hint="eastAsia" w:ascii="仿宋_GB2312" w:hAnsi="仿宋_GB2312" w:eastAsia="仿宋_GB2312" w:cs="仿宋_GB2312"/>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384"/>
    <w:multiLevelType w:val="singleLevel"/>
    <w:tmpl w:val="5A5F2384"/>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5F2BFF"/>
    <w:multiLevelType w:val="singleLevel"/>
    <w:tmpl w:val="5A5F2BFF"/>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D3F8C"/>
    <w:rsid w:val="0AAE472A"/>
    <w:rsid w:val="0AD461BC"/>
    <w:rsid w:val="0D743CE3"/>
    <w:rsid w:val="13016A31"/>
    <w:rsid w:val="193936D9"/>
    <w:rsid w:val="1BB46A50"/>
    <w:rsid w:val="1F3E1941"/>
    <w:rsid w:val="20EE6A13"/>
    <w:rsid w:val="2E6031F7"/>
    <w:rsid w:val="33815357"/>
    <w:rsid w:val="340178E0"/>
    <w:rsid w:val="36E602DD"/>
    <w:rsid w:val="42911570"/>
    <w:rsid w:val="467E4077"/>
    <w:rsid w:val="471F14DE"/>
    <w:rsid w:val="4AD3740E"/>
    <w:rsid w:val="4B352732"/>
    <w:rsid w:val="4F185C77"/>
    <w:rsid w:val="4F6B7520"/>
    <w:rsid w:val="50225FF8"/>
    <w:rsid w:val="50CB6A87"/>
    <w:rsid w:val="595F0183"/>
    <w:rsid w:val="59D86ECF"/>
    <w:rsid w:val="5B970A4B"/>
    <w:rsid w:val="608D4475"/>
    <w:rsid w:val="60E37A9B"/>
    <w:rsid w:val="61DC2D24"/>
    <w:rsid w:val="63655290"/>
    <w:rsid w:val="66D06120"/>
    <w:rsid w:val="6D9B07DA"/>
    <w:rsid w:val="79FF4F9C"/>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2018-03-30T07:39:11Z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