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both"/>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华石镇人民政府部门预算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第四部分  名词解释</w:t>
      </w:r>
    </w:p>
    <w:p>
      <w:pPr>
        <w:ind w:firstLine="2880" w:firstLineChars="900"/>
        <w:jc w:val="both"/>
        <w:rPr>
          <w:rFonts w:hint="eastAsia" w:ascii="宋体" w:hAnsi="宋体" w:eastAsia="宋体" w:cs="宋体"/>
          <w:sz w:val="32"/>
          <w:szCs w:val="32"/>
        </w:rPr>
      </w:pPr>
      <w:r>
        <w:rPr>
          <w:rFonts w:hint="eastAsia" w:ascii="黑体" w:hAnsi="黑体" w:eastAsia="黑体" w:cs="黑体"/>
          <w:sz w:val="32"/>
          <w:szCs w:val="32"/>
          <w:lang w:val="en-US" w:eastAsia="zh-CN"/>
        </w:rPr>
        <w:t>第一部分  概况</w:t>
      </w:r>
    </w:p>
    <w:p>
      <w:pPr>
        <w:jc w:val="center"/>
        <w:rPr>
          <w:rFonts w:hint="eastAsia" w:ascii="宋体" w:hAnsi="宋体" w:eastAsia="宋体" w:cs="宋体"/>
          <w:sz w:val="32"/>
          <w:szCs w:val="32"/>
        </w:rPr>
      </w:pPr>
    </w:p>
    <w:p>
      <w:pPr>
        <w:rPr>
          <w:rFonts w:hint="eastAsia" w:ascii="黑体" w:eastAsia="黑体"/>
          <w:sz w:val="44"/>
        </w:rPr>
      </w:pPr>
      <w:r>
        <w:rPr>
          <w:rFonts w:hint="eastAsia" w:ascii="黑体" w:eastAsia="黑体"/>
          <w:sz w:val="44"/>
        </w:rPr>
        <w:t>华石镇人民政府2016年部门预算编制说明</w:t>
      </w:r>
    </w:p>
    <w:p>
      <w:pPr>
        <w:rPr>
          <w:rFonts w:hint="eastAsia" w:ascii="黑体" w:eastAsia="黑体"/>
          <w:sz w:val="44"/>
        </w:rPr>
      </w:pPr>
    </w:p>
    <w:p>
      <w:pPr>
        <w:rPr>
          <w:rFonts w:hint="eastAsia"/>
          <w:sz w:val="32"/>
        </w:rPr>
      </w:pPr>
      <w:r>
        <w:rPr>
          <w:rFonts w:hint="eastAsia"/>
          <w:sz w:val="32"/>
        </w:rPr>
        <w:t>一、部门基本情况：</w:t>
      </w:r>
    </w:p>
    <w:p>
      <w:pPr>
        <w:rPr>
          <w:rFonts w:hint="eastAsia"/>
          <w:sz w:val="32"/>
        </w:rPr>
      </w:pPr>
      <w:r>
        <w:rPr>
          <w:rFonts w:hint="eastAsia"/>
          <w:sz w:val="32"/>
        </w:rPr>
        <w:t>&lt;一&gt;单位机构设置、职能</w:t>
      </w:r>
    </w:p>
    <w:p>
      <w:pPr>
        <w:rPr>
          <w:rFonts w:hint="eastAsia"/>
          <w:sz w:val="32"/>
        </w:rPr>
      </w:pPr>
      <w:r>
        <w:rPr>
          <w:rFonts w:hint="eastAsia"/>
          <w:sz w:val="32"/>
        </w:rPr>
        <w:t xml:space="preserve">  内设党政办、社会事务办、规划建设办、计生办、经济发展办、农办6个办公室。下设农业务服站、林业站、水利水电管理站、计生服务所、文化站5个事业站所。</w:t>
      </w:r>
    </w:p>
    <w:p>
      <w:pPr>
        <w:rPr>
          <w:rFonts w:hint="eastAsia"/>
          <w:sz w:val="32"/>
        </w:rPr>
      </w:pPr>
      <w:r>
        <w:rPr>
          <w:rFonts w:hint="eastAsia"/>
          <w:sz w:val="32"/>
        </w:rPr>
        <w:t xml:space="preserve">  主要职能：1.宣传贯彻党和国家的路线、方针、政策，贯彻落实上级党委、政府各个时期、各项工作的指示、政策和工作部署。2.因地制定编制本镇国民经济和社会发展规划。</w:t>
      </w:r>
    </w:p>
    <w:p>
      <w:pPr>
        <w:rPr>
          <w:rFonts w:hint="eastAsia"/>
          <w:sz w:val="32"/>
        </w:rPr>
      </w:pPr>
      <w:r>
        <w:rPr>
          <w:rFonts w:hint="eastAsia"/>
          <w:sz w:val="32"/>
        </w:rPr>
        <w:t>〈二〉人员构成</w:t>
      </w:r>
    </w:p>
    <w:p>
      <w:pPr>
        <w:numPr>
          <w:ilvl w:val="0"/>
          <w:numId w:val="3"/>
        </w:numPr>
        <w:rPr>
          <w:rFonts w:hint="eastAsia"/>
          <w:sz w:val="32"/>
        </w:rPr>
      </w:pPr>
      <w:r>
        <w:rPr>
          <w:rFonts w:hint="eastAsia"/>
          <w:sz w:val="32"/>
        </w:rPr>
        <w:t>编制人数38人，其中行政编制35人，工勤人员3人，（不含事业站所编制19人）。</w:t>
      </w:r>
    </w:p>
    <w:p>
      <w:pPr>
        <w:numPr>
          <w:ilvl w:val="0"/>
          <w:numId w:val="3"/>
        </w:numPr>
        <w:rPr>
          <w:rFonts w:hint="eastAsia"/>
          <w:sz w:val="32"/>
        </w:rPr>
      </w:pPr>
      <w:r>
        <w:rPr>
          <w:rFonts w:hint="eastAsia"/>
          <w:sz w:val="32"/>
        </w:rPr>
        <w:t>实有人数57人，其中在职36人（含工勤人员4人），离退休21人，（不含事业站所编制18人）。</w:t>
      </w:r>
    </w:p>
    <w:p>
      <w:pPr>
        <w:numPr>
          <w:ilvl w:val="0"/>
          <w:numId w:val="3"/>
        </w:numPr>
        <w:rPr>
          <w:rFonts w:hint="eastAsia"/>
          <w:sz w:val="32"/>
        </w:rPr>
      </w:pPr>
      <w:r>
        <w:rPr>
          <w:rFonts w:hint="eastAsia"/>
          <w:sz w:val="32"/>
        </w:rPr>
        <w:t>纳入统发工资人数57人，其中在职36人, 离退休21人。</w:t>
      </w:r>
    </w:p>
    <w:p>
      <w:pPr>
        <w:rPr>
          <w:rFonts w:hint="eastAsia"/>
          <w:sz w:val="32"/>
        </w:rPr>
      </w:pPr>
      <w:r>
        <w:rPr>
          <w:rFonts w:hint="eastAsia"/>
          <w:sz w:val="32"/>
        </w:rPr>
        <w:t>二、预算收支基本情况：</w:t>
      </w:r>
    </w:p>
    <w:p>
      <w:pPr>
        <w:rPr>
          <w:rFonts w:hint="eastAsia"/>
          <w:sz w:val="32"/>
        </w:rPr>
      </w:pPr>
      <w:r>
        <w:rPr>
          <w:rFonts w:hint="eastAsia"/>
          <w:sz w:val="32"/>
        </w:rPr>
        <w:t xml:space="preserve">  2016年度收入预算的编制本着坚持厉行节约、从严从紧、严格控制“三公经费”、会议费、差旅费支出，控制和降低运行成本的原则。本年度财政总支出</w:t>
      </w:r>
      <w:r>
        <w:rPr>
          <w:rFonts w:hint="eastAsia"/>
          <w:sz w:val="32"/>
          <w:lang w:val="en-US" w:eastAsia="zh-CN"/>
        </w:rPr>
        <w:t>556</w:t>
      </w:r>
      <w:r>
        <w:rPr>
          <w:rFonts w:hint="eastAsia"/>
          <w:sz w:val="32"/>
        </w:rPr>
        <w:t>万元，与上年实际支出基本持平。其中：</w:t>
      </w:r>
    </w:p>
    <w:p>
      <w:pPr>
        <w:rPr>
          <w:rFonts w:hint="eastAsia"/>
          <w:sz w:val="32"/>
        </w:rPr>
      </w:pPr>
      <w:r>
        <w:rPr>
          <w:rFonts w:hint="eastAsia"/>
          <w:sz w:val="32"/>
        </w:rPr>
        <w:t>1、.财政预算拔款</w:t>
      </w:r>
      <w:r>
        <w:rPr>
          <w:rFonts w:hint="eastAsia"/>
          <w:sz w:val="32"/>
          <w:lang w:val="en-US" w:eastAsia="zh-CN"/>
        </w:rPr>
        <w:t>556</w:t>
      </w:r>
      <w:r>
        <w:rPr>
          <w:rFonts w:hint="eastAsia"/>
          <w:sz w:val="32"/>
        </w:rPr>
        <w:t>万元。</w:t>
      </w:r>
    </w:p>
    <w:p>
      <w:pPr>
        <w:rPr>
          <w:rFonts w:hint="eastAsia"/>
          <w:sz w:val="32"/>
        </w:rPr>
      </w:pPr>
      <w:r>
        <w:rPr>
          <w:rFonts w:hint="eastAsia"/>
          <w:sz w:val="32"/>
        </w:rPr>
        <w:t>2、本年度支出预算</w:t>
      </w:r>
      <w:r>
        <w:rPr>
          <w:rFonts w:hint="eastAsia"/>
          <w:sz w:val="32"/>
          <w:lang w:val="en-US" w:eastAsia="zh-CN"/>
        </w:rPr>
        <w:t>556</w:t>
      </w:r>
      <w:r>
        <w:rPr>
          <w:rFonts w:hint="eastAsia"/>
          <w:sz w:val="32"/>
        </w:rPr>
        <w:t>万元，与上年度实际支出基本持平，其中：1.基本支出</w:t>
      </w:r>
      <w:r>
        <w:rPr>
          <w:rFonts w:hint="eastAsia"/>
          <w:sz w:val="32"/>
          <w:lang w:val="en-US" w:eastAsia="zh-CN"/>
        </w:rPr>
        <w:t>556</w:t>
      </w:r>
      <w:r>
        <w:rPr>
          <w:rFonts w:hint="eastAsia"/>
          <w:sz w:val="32"/>
        </w:rPr>
        <w:t>万元（其中工资福利支出</w:t>
      </w:r>
      <w:r>
        <w:rPr>
          <w:rFonts w:hint="eastAsia"/>
          <w:sz w:val="32"/>
          <w:lang w:val="en-US" w:eastAsia="zh-CN"/>
        </w:rPr>
        <w:t>219</w:t>
      </w:r>
      <w:r>
        <w:rPr>
          <w:rFonts w:hint="eastAsia"/>
          <w:sz w:val="32"/>
        </w:rPr>
        <w:t>万元，商品和服务支出</w:t>
      </w:r>
      <w:r>
        <w:rPr>
          <w:rFonts w:hint="eastAsia"/>
          <w:sz w:val="32"/>
          <w:lang w:val="en-US" w:eastAsia="zh-CN"/>
        </w:rPr>
        <w:t>259</w:t>
      </w:r>
      <w:r>
        <w:rPr>
          <w:rFonts w:hint="eastAsia"/>
          <w:sz w:val="32"/>
        </w:rPr>
        <w:t>万，对个人和家庭补助支出</w:t>
      </w:r>
      <w:r>
        <w:rPr>
          <w:rFonts w:hint="eastAsia"/>
          <w:sz w:val="32"/>
          <w:lang w:val="en-US" w:eastAsia="zh-CN"/>
        </w:rPr>
        <w:t>78</w:t>
      </w:r>
      <w:r>
        <w:rPr>
          <w:rFonts w:hint="eastAsia"/>
          <w:sz w:val="32"/>
        </w:rPr>
        <w:t>万元）。</w:t>
      </w:r>
    </w:p>
    <w:p>
      <w:pPr>
        <w:rPr>
          <w:rFonts w:hint="eastAsia"/>
          <w:sz w:val="32"/>
        </w:rPr>
      </w:pPr>
      <w:r>
        <w:rPr>
          <w:rFonts w:hint="eastAsia"/>
          <w:sz w:val="32"/>
        </w:rPr>
        <w:t>3、根据罗交字〔2015〕51号文要求作了粤云浮渡136、083义渡船的保险、保养专项业务经费2.4万元。</w:t>
      </w:r>
    </w:p>
    <w:p>
      <w:pPr>
        <w:rPr>
          <w:rFonts w:hint="eastAsia"/>
          <w:sz w:val="32"/>
        </w:rPr>
      </w:pPr>
      <w:r>
        <w:rPr>
          <w:rFonts w:hint="eastAsia"/>
          <w:sz w:val="32"/>
        </w:rPr>
        <w:t>三、本预算不包括事业站所在职人员经费支出。</w:t>
      </w:r>
    </w:p>
    <w:p>
      <w:pPr>
        <w:rPr>
          <w:rFonts w:hint="eastAsia"/>
          <w:sz w:val="32"/>
        </w:rPr>
      </w:pPr>
      <w:r>
        <w:rPr>
          <w:rFonts w:hint="eastAsia"/>
          <w:sz w:val="32"/>
        </w:rPr>
        <w:t>四、不作项目支出预算。</w:t>
      </w:r>
    </w:p>
    <w:p>
      <w:pPr>
        <w:rPr>
          <w:rFonts w:hint="eastAsia"/>
          <w:sz w:val="32"/>
        </w:rPr>
      </w:pPr>
      <w:r>
        <w:rPr>
          <w:rFonts w:hint="eastAsia"/>
          <w:sz w:val="32"/>
        </w:rPr>
        <w:t>五、政府不作采购预算。</w:t>
      </w:r>
    </w:p>
    <w:p>
      <w:pPr>
        <w:rPr>
          <w:rFonts w:hint="eastAsia"/>
          <w:sz w:val="32"/>
        </w:rPr>
      </w:pPr>
      <w:r>
        <w:rPr>
          <w:rFonts w:hint="eastAsia"/>
          <w:sz w:val="32"/>
        </w:rPr>
        <w:t>六、不作非税收入征收预算。</w:t>
      </w:r>
    </w:p>
    <w:p>
      <w:pPr>
        <w:rPr>
          <w:rFonts w:hint="eastAsia"/>
          <w:sz w:val="32"/>
        </w:rPr>
      </w:pPr>
      <w:r>
        <w:rPr>
          <w:rFonts w:hint="eastAsia"/>
          <w:sz w:val="32"/>
        </w:rPr>
        <w:t>七、收支平衡。</w:t>
      </w:r>
    </w:p>
    <w:p>
      <w:pPr>
        <w:rPr>
          <w:rFonts w:hint="eastAsia"/>
          <w:sz w:val="32"/>
        </w:rPr>
      </w:pPr>
    </w:p>
    <w:p>
      <w:pPr>
        <w:ind w:firstLine="4944" w:firstLineChars="1545"/>
        <w:rPr>
          <w:rFonts w:hint="eastAsia"/>
          <w:sz w:val="32"/>
        </w:rPr>
      </w:pPr>
      <w:r>
        <w:rPr>
          <w:rFonts w:hint="eastAsia"/>
          <w:sz w:val="32"/>
        </w:rPr>
        <w:t>华石镇人民政府</w:t>
      </w:r>
    </w:p>
    <w:p>
      <w:pPr>
        <w:ind w:firstLine="4624" w:firstLineChars="1445"/>
        <w:rPr>
          <w:rFonts w:hint="eastAsia"/>
          <w:sz w:val="32"/>
        </w:rPr>
      </w:pPr>
      <w:r>
        <w:rPr>
          <w:rFonts w:hint="eastAsia"/>
          <w:sz w:val="32"/>
        </w:rPr>
        <w:t>201</w:t>
      </w:r>
      <w:r>
        <w:rPr>
          <w:rFonts w:hint="eastAsia"/>
          <w:sz w:val="32"/>
          <w:lang w:val="en-US" w:eastAsia="zh-CN"/>
        </w:rPr>
        <w:t>6</w:t>
      </w:r>
      <w:r>
        <w:rPr>
          <w:rFonts w:hint="eastAsia"/>
          <w:sz w:val="32"/>
        </w:rPr>
        <w:t>年</w:t>
      </w:r>
      <w:r>
        <w:rPr>
          <w:rFonts w:hint="eastAsia"/>
          <w:sz w:val="32"/>
          <w:lang w:val="en-US" w:eastAsia="zh-CN"/>
        </w:rPr>
        <w:t>4</w:t>
      </w:r>
      <w:r>
        <w:rPr>
          <w:rFonts w:hint="eastAsia"/>
          <w:sz w:val="32"/>
        </w:rPr>
        <w:t>月1</w:t>
      </w:r>
      <w:r>
        <w:rPr>
          <w:rFonts w:hint="eastAsia"/>
          <w:sz w:val="32"/>
          <w:lang w:val="en-US" w:eastAsia="zh-CN"/>
        </w:rPr>
        <w:t>3</w:t>
      </w:r>
      <w:r>
        <w:rPr>
          <w:rFonts w:hint="eastAsia"/>
          <w:sz w:val="32"/>
        </w:rPr>
        <w:t>日</w:t>
      </w:r>
    </w:p>
    <w:p>
      <w:pPr>
        <w:rPr>
          <w:rFonts w:hint="eastAsia"/>
          <w:sz w:val="32"/>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4"/>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2016年部门预算表</w:t>
      </w:r>
    </w:p>
    <w:p>
      <w:r>
        <w:drawing>
          <wp:inline distT="0" distB="0" distL="114300" distR="114300">
            <wp:extent cx="5272405" cy="3273425"/>
            <wp:effectExtent l="0" t="0" r="444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272405" cy="3273425"/>
                    </a:xfrm>
                    <a:prstGeom prst="rect">
                      <a:avLst/>
                    </a:prstGeom>
                    <a:noFill/>
                    <a:ln w="9525">
                      <a:noFill/>
                    </a:ln>
                  </pic:spPr>
                </pic:pic>
              </a:graphicData>
            </a:graphic>
          </wp:inline>
        </w:drawing>
      </w:r>
    </w:p>
    <w:p>
      <w:r>
        <w:drawing>
          <wp:inline distT="0" distB="0" distL="114300" distR="114300">
            <wp:extent cx="5142865" cy="5657215"/>
            <wp:effectExtent l="0" t="0" r="63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142865" cy="5657215"/>
                    </a:xfrm>
                    <a:prstGeom prst="rect">
                      <a:avLst/>
                    </a:prstGeom>
                    <a:noFill/>
                    <a:ln w="9525">
                      <a:noFill/>
                    </a:ln>
                  </pic:spPr>
                </pic:pic>
              </a:graphicData>
            </a:graphic>
          </wp:inline>
        </w:drawing>
      </w:r>
    </w:p>
    <w:p/>
    <w:p>
      <w:r>
        <w:drawing>
          <wp:inline distT="0" distB="0" distL="114300" distR="114300">
            <wp:extent cx="5028565" cy="7752080"/>
            <wp:effectExtent l="0" t="0" r="635"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028565" cy="7752080"/>
                    </a:xfrm>
                    <a:prstGeom prst="rect">
                      <a:avLst/>
                    </a:prstGeom>
                    <a:noFill/>
                    <a:ln w="9525">
                      <a:noFill/>
                    </a:ln>
                  </pic:spPr>
                </pic:pic>
              </a:graphicData>
            </a:graphic>
          </wp:inline>
        </w:drawing>
      </w:r>
    </w:p>
    <w:p/>
    <w:p/>
    <w:p/>
    <w:p/>
    <w:p>
      <w:r>
        <w:drawing>
          <wp:inline distT="0" distB="0" distL="114300" distR="114300">
            <wp:extent cx="5270500" cy="1811020"/>
            <wp:effectExtent l="0" t="0" r="6350"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70500" cy="1811020"/>
                    </a:xfrm>
                    <a:prstGeom prst="rect">
                      <a:avLst/>
                    </a:prstGeom>
                    <a:noFill/>
                    <a:ln w="9525">
                      <a:noFill/>
                    </a:ln>
                  </pic:spPr>
                </pic:pic>
              </a:graphicData>
            </a:graphic>
          </wp:inline>
        </w:drawing>
      </w:r>
    </w:p>
    <w:p/>
    <w:p>
      <w:r>
        <w:drawing>
          <wp:inline distT="0" distB="0" distL="114300" distR="114300">
            <wp:extent cx="5271770" cy="2561590"/>
            <wp:effectExtent l="0" t="0" r="5080" b="1016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71770" cy="2561590"/>
                    </a:xfrm>
                    <a:prstGeom prst="rect">
                      <a:avLst/>
                    </a:prstGeom>
                    <a:noFill/>
                    <a:ln w="9525">
                      <a:noFill/>
                    </a:ln>
                  </pic:spPr>
                </pic:pic>
              </a:graphicData>
            </a:graphic>
          </wp:inline>
        </w:drawing>
      </w:r>
    </w:p>
    <w:p/>
    <w:p/>
    <w:p/>
    <w:p/>
    <w:p/>
    <w:p/>
    <w:p/>
    <w:p/>
    <w:p/>
    <w:p/>
    <w:p/>
    <w:p/>
    <w:p/>
    <w:p/>
    <w:p/>
    <w:p/>
    <w:p/>
    <w:p/>
    <w:p/>
    <w:p/>
    <w:p>
      <w:r>
        <w:drawing>
          <wp:inline distT="0" distB="0" distL="114300" distR="114300">
            <wp:extent cx="5271770" cy="9317990"/>
            <wp:effectExtent l="0" t="0" r="5080" b="1651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271770" cy="9317990"/>
                    </a:xfrm>
                    <a:prstGeom prst="rect">
                      <a:avLst/>
                    </a:prstGeom>
                    <a:noFill/>
                    <a:ln w="9525">
                      <a:noFill/>
                    </a:ln>
                  </pic:spPr>
                </pic:pic>
              </a:graphicData>
            </a:graphic>
          </wp:inline>
        </w:drawing>
      </w:r>
    </w:p>
    <w:p/>
    <w:p/>
    <w:p>
      <w:r>
        <w:drawing>
          <wp:inline distT="0" distB="0" distL="114300" distR="114300">
            <wp:extent cx="5269230" cy="6739255"/>
            <wp:effectExtent l="0" t="0" r="7620" b="444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5269230" cy="6739255"/>
                    </a:xfrm>
                    <a:prstGeom prst="rect">
                      <a:avLst/>
                    </a:prstGeom>
                    <a:noFill/>
                    <a:ln w="9525">
                      <a:noFill/>
                    </a:ln>
                  </pic:spPr>
                </pic:pic>
              </a:graphicData>
            </a:graphic>
          </wp:inline>
        </w:drawing>
      </w:r>
    </w:p>
    <w:p>
      <w:r>
        <w:drawing>
          <wp:inline distT="0" distB="0" distL="114300" distR="114300">
            <wp:extent cx="5267960" cy="5260340"/>
            <wp:effectExtent l="0" t="0" r="8890" b="165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1"/>
                    <a:stretch>
                      <a:fillRect/>
                    </a:stretch>
                  </pic:blipFill>
                  <pic:spPr>
                    <a:xfrm>
                      <a:off x="0" y="0"/>
                      <a:ext cx="5267960" cy="5260340"/>
                    </a:xfrm>
                    <a:prstGeom prst="rect">
                      <a:avLst/>
                    </a:prstGeom>
                    <a:noFill/>
                    <a:ln w="9525">
                      <a:noFill/>
                    </a:ln>
                  </pic:spPr>
                </pic:pic>
              </a:graphicData>
            </a:graphic>
          </wp:inline>
        </w:drawing>
      </w:r>
    </w:p>
    <w:p>
      <w:r>
        <w:drawing>
          <wp:inline distT="0" distB="0" distL="114300" distR="114300">
            <wp:extent cx="5272405" cy="3110865"/>
            <wp:effectExtent l="0" t="0" r="4445" b="1333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5272405" cy="3110865"/>
                    </a:xfrm>
                    <a:prstGeom prst="rect">
                      <a:avLst/>
                    </a:prstGeom>
                    <a:noFill/>
                    <a:ln w="9525">
                      <a:noFill/>
                    </a:ln>
                  </pic:spPr>
                </pic:pic>
              </a:graphicData>
            </a:graphic>
          </wp:inline>
        </w:drawing>
      </w:r>
    </w:p>
    <w:p/>
    <w:p>
      <w:r>
        <w:drawing>
          <wp:inline distT="0" distB="0" distL="114300" distR="114300">
            <wp:extent cx="5272405" cy="4248785"/>
            <wp:effectExtent l="0" t="0" r="4445" b="1841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3"/>
                    <a:stretch>
                      <a:fillRect/>
                    </a:stretch>
                  </pic:blipFill>
                  <pic:spPr>
                    <a:xfrm>
                      <a:off x="0" y="0"/>
                      <a:ext cx="5272405" cy="4248785"/>
                    </a:xfrm>
                    <a:prstGeom prst="rect">
                      <a:avLst/>
                    </a:prstGeom>
                    <a:noFill/>
                    <a:ln w="9525">
                      <a:noFill/>
                    </a:ln>
                  </pic:spPr>
                </pic:pic>
              </a:graphicData>
            </a:graphic>
          </wp:inline>
        </w:drawing>
      </w:r>
    </w:p>
    <w:p>
      <w:r>
        <w:drawing>
          <wp:inline distT="0" distB="0" distL="114300" distR="114300">
            <wp:extent cx="5269230" cy="4659630"/>
            <wp:effectExtent l="0" t="0" r="7620" b="762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4"/>
                    <a:stretch>
                      <a:fillRect/>
                    </a:stretch>
                  </pic:blipFill>
                  <pic:spPr>
                    <a:xfrm>
                      <a:off x="0" y="0"/>
                      <a:ext cx="5269230" cy="4659630"/>
                    </a:xfrm>
                    <a:prstGeom prst="rect">
                      <a:avLst/>
                    </a:prstGeom>
                    <a:noFill/>
                    <a:ln w="9525">
                      <a:noFill/>
                    </a:ln>
                  </pic:spPr>
                </pic:pic>
              </a:graphicData>
            </a:graphic>
          </wp:inline>
        </w:drawing>
      </w:r>
    </w:p>
    <w:p/>
    <w:p/>
    <w:p/>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ind w:firstLine="602" w:firstLineChars="200"/>
        <w:rPr>
          <w:rFonts w:hint="eastAsia"/>
          <w:b/>
          <w:bCs/>
          <w:sz w:val="30"/>
          <w:szCs w:val="30"/>
        </w:rPr>
      </w:pPr>
      <w:r>
        <w:rPr>
          <w:rFonts w:hint="eastAsia"/>
          <w:b/>
          <w:bCs/>
          <w:sz w:val="30"/>
          <w:szCs w:val="30"/>
        </w:rPr>
        <w:t>一、部门预算收支增减变化情况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360" w:right="360" w:firstLine="640" w:firstLineChars="200"/>
        <w:jc w:val="left"/>
        <w:rPr>
          <w:rFonts w:hint="eastAsia" w:ascii="宋体" w:hAnsi="宋体" w:eastAsia="宋体" w:cs="宋体"/>
        </w:rPr>
      </w:pPr>
      <w:r>
        <w:rPr>
          <w:rFonts w:hint="eastAsia" w:ascii="宋体" w:hAnsi="宋体" w:eastAsia="宋体" w:cs="宋体"/>
          <w:color w:val="555555"/>
          <w:kern w:val="0"/>
          <w:sz w:val="32"/>
          <w:szCs w:val="32"/>
          <w:lang w:val="en-US" w:eastAsia="zh-CN" w:bidi="ar"/>
        </w:rPr>
        <w:t xml:space="preserve">2016年我镇预算收入556万元，比去年预算收入增加60万元，主要是业务收入:财政拨款收入556万元，其他收入0万元;2016年财政拨款支出按用途划分，基本支出556万元，占100%，其中：工资福利支出219万元，对个人和家庭的补助78万元，商品和服务支出259万元。 </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二、“三公”经费安排情况说明</w:t>
      </w:r>
    </w:p>
    <w:p>
      <w:pPr>
        <w:numPr>
          <w:ilvl w:val="0"/>
          <w:numId w:val="0"/>
        </w:numPr>
        <w:ind w:leftChars="200"/>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2016年“三公”经费预算为27万元，与2016年度持平。</w:t>
      </w:r>
    </w:p>
    <w:p>
      <w:pPr>
        <w:numPr>
          <w:ilvl w:val="0"/>
          <w:numId w:val="0"/>
        </w:numPr>
        <w:ind w:leftChars="200"/>
        <w:jc w:val="both"/>
        <w:rPr>
          <w:rFonts w:hint="eastAsia" w:ascii="宋体" w:hAnsi="宋体" w:eastAsia="宋体" w:cs="宋体"/>
          <w:sz w:val="32"/>
          <w:szCs w:val="32"/>
          <w:lang w:val="en-US" w:eastAsia="zh-CN"/>
        </w:rPr>
      </w:pPr>
      <w:r>
        <w:rPr>
          <w:rFonts w:hint="eastAsia" w:ascii="宋体" w:hAnsi="宋体" w:eastAsia="宋体" w:cs="宋体"/>
          <w:b w:val="0"/>
          <w:bCs w:val="0"/>
          <w:sz w:val="28"/>
          <w:szCs w:val="28"/>
          <w:lang w:val="en-US" w:eastAsia="zh-CN"/>
        </w:rPr>
        <w:t>三、</w:t>
      </w:r>
      <w:r>
        <w:rPr>
          <w:rFonts w:hint="eastAsia" w:ascii="宋体" w:hAnsi="宋体" w:eastAsia="宋体" w:cs="宋体"/>
          <w:sz w:val="32"/>
          <w:szCs w:val="32"/>
          <w:lang w:val="en-US" w:eastAsia="zh-CN"/>
        </w:rPr>
        <w:t>机关运行经费安排情况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360" w:right="360" w:firstLine="640" w:firstLineChars="200"/>
        <w:jc w:val="left"/>
      </w:pPr>
      <w:r>
        <w:rPr>
          <w:rFonts w:hint="eastAsia" w:ascii="宋体" w:hAnsi="宋体" w:eastAsia="宋体" w:cs="宋体"/>
          <w:sz w:val="32"/>
          <w:szCs w:val="32"/>
          <w:lang w:val="en-US" w:eastAsia="zh-CN"/>
        </w:rPr>
        <w:t xml:space="preserve">  （一）机关运行经费安排情况说明。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Calibri" w:hAnsi="Calibri" w:eastAsia="宋体" w:cs="宋体"/>
          <w:color w:val="555555"/>
          <w:kern w:val="0"/>
          <w:sz w:val="32"/>
          <w:szCs w:val="32"/>
          <w:lang w:val="en-US" w:eastAsia="zh-CN" w:bidi="ar"/>
        </w:rPr>
        <w:t>机关运行经费支出说明。</w:t>
      </w:r>
      <w:r>
        <w:rPr>
          <w:rFonts w:hint="default" w:ascii="Calibri" w:hAnsi="Calibri" w:eastAsia="宋体" w:cs="Calibri"/>
          <w:color w:val="555555"/>
          <w:kern w:val="0"/>
          <w:sz w:val="32"/>
          <w:szCs w:val="32"/>
          <w:lang w:val="en-US" w:eastAsia="zh-CN" w:bidi="ar"/>
        </w:rPr>
        <w:t>201</w:t>
      </w:r>
      <w:r>
        <w:rPr>
          <w:rFonts w:hint="eastAsia" w:ascii="Calibri" w:hAnsi="Calibri" w:eastAsia="宋体" w:cs="Calibri"/>
          <w:color w:val="555555"/>
          <w:kern w:val="0"/>
          <w:sz w:val="32"/>
          <w:szCs w:val="32"/>
          <w:lang w:val="en-US" w:eastAsia="zh-CN" w:bidi="ar"/>
        </w:rPr>
        <w:t>6</w:t>
      </w:r>
      <w:r>
        <w:rPr>
          <w:rFonts w:hint="eastAsia" w:ascii="Calibri" w:hAnsi="Calibri" w:eastAsia="宋体" w:cs="宋体"/>
          <w:color w:val="555555"/>
          <w:kern w:val="0"/>
          <w:sz w:val="32"/>
          <w:szCs w:val="32"/>
          <w:lang w:val="en-US" w:eastAsia="zh-CN" w:bidi="ar"/>
        </w:rPr>
        <w:t>年本单位机关运行经费预算支出556万元，比</w:t>
      </w:r>
      <w:r>
        <w:rPr>
          <w:rFonts w:hint="default" w:ascii="Calibri" w:hAnsi="Calibri" w:eastAsia="宋体" w:cs="Calibri"/>
          <w:color w:val="555555"/>
          <w:kern w:val="0"/>
          <w:sz w:val="32"/>
          <w:szCs w:val="32"/>
          <w:lang w:val="en-US" w:eastAsia="zh-CN" w:bidi="ar"/>
        </w:rPr>
        <w:t>201</w:t>
      </w:r>
      <w:r>
        <w:rPr>
          <w:rFonts w:hint="eastAsia" w:ascii="Calibri" w:hAnsi="Calibri" w:eastAsia="宋体" w:cs="Calibri"/>
          <w:color w:val="555555"/>
          <w:kern w:val="0"/>
          <w:sz w:val="32"/>
          <w:szCs w:val="32"/>
          <w:lang w:val="en-US" w:eastAsia="zh-CN" w:bidi="ar"/>
        </w:rPr>
        <w:t>6</w:t>
      </w:r>
      <w:r>
        <w:rPr>
          <w:rFonts w:hint="eastAsia" w:ascii="Calibri" w:hAnsi="Calibri" w:eastAsia="宋体" w:cs="宋体"/>
          <w:color w:val="555555"/>
          <w:kern w:val="0"/>
          <w:sz w:val="32"/>
          <w:szCs w:val="32"/>
          <w:lang w:val="en-US" w:eastAsia="zh-CN" w:bidi="ar"/>
        </w:rPr>
        <w:t>年预算支出增加60万元。主要是：一般公共服务支出增加80万元，社会保障和就业支出减少20万元。</w:t>
      </w:r>
    </w:p>
    <w:p>
      <w:pPr>
        <w:numPr>
          <w:ilvl w:val="0"/>
          <w:numId w:val="0"/>
        </w:numPr>
        <w:ind w:leftChars="200"/>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四、政府采购安排情况说明</w:t>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p>
    <w:p>
      <w:pPr>
        <w:numPr>
          <w:ilvl w:val="0"/>
          <w:numId w:val="0"/>
        </w:numPr>
        <w:ind w:leftChars="200" w:firstLine="560" w:firstLineChars="200"/>
        <w:jc w:val="both"/>
        <w:rPr>
          <w:rFonts w:hint="eastAsia" w:ascii="黑体" w:hAnsi="黑体" w:eastAsia="黑体" w:cs="黑体"/>
          <w:b w:val="0"/>
          <w:bCs w:val="0"/>
          <w:sz w:val="28"/>
          <w:szCs w:val="28"/>
          <w:lang w:val="en-US" w:eastAsia="zh-CN"/>
        </w:rPr>
      </w:pPr>
      <w:r>
        <w:rPr>
          <w:rFonts w:hint="eastAsia" w:ascii="宋体" w:hAnsi="宋体" w:eastAsia="宋体" w:cs="宋体"/>
          <w:b w:val="0"/>
          <w:bCs w:val="0"/>
          <w:sz w:val="28"/>
          <w:szCs w:val="28"/>
          <w:lang w:val="en-US" w:eastAsia="zh-CN"/>
        </w:rPr>
        <w:t>此项无重要事项的情况。</w:t>
      </w:r>
      <w:r>
        <w:rPr>
          <w:rFonts w:hint="eastAsia" w:ascii="宋体" w:hAnsi="宋体" w:eastAsia="宋体" w:cs="宋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r>
        <w:rPr>
          <w:rFonts w:hint="eastAsia" w:ascii="黑体" w:hAnsi="黑体" w:eastAsia="黑体" w:cs="黑体"/>
          <w:b w:val="0"/>
          <w:bCs w:val="0"/>
          <w:sz w:val="28"/>
          <w:szCs w:val="28"/>
          <w:lang w:val="en-US" w:eastAsia="zh-CN"/>
        </w:rPr>
        <w:tab/>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五、国有资产占有使用情况</w:t>
      </w:r>
    </w:p>
    <w:p>
      <w:pPr>
        <w:numPr>
          <w:ilvl w:val="0"/>
          <w:numId w:val="0"/>
        </w:numPr>
        <w:ind w:firstLine="64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截至2015年12月31日，本部门占有使用国有资产总体情况为：364.959074万元，分布构成情况为：流动资产51.226774万元，占资产总额的14.04%，固定资产313.7323万元占资产总额的85.96%.主要实物资产数据情况为：房屋及构筑物：284.635万元，通用设备：26.0523万元，专用设备1.5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jc w:val="both"/>
        <w:rPr>
          <w:rFonts w:hint="eastAsia" w:ascii="黑体" w:hAnsi="黑体" w:eastAsia="黑体" w:cs="黑体"/>
          <w:sz w:val="32"/>
          <w:szCs w:val="32"/>
          <w:lang w:val="en-US" w:eastAsia="zh-CN"/>
        </w:rPr>
      </w:pPr>
      <w:r>
        <w:drawing>
          <wp:inline distT="0" distB="0" distL="114300" distR="114300">
            <wp:extent cx="5274310" cy="7466965"/>
            <wp:effectExtent l="0" t="0" r="2540" b="63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5"/>
                    <a:stretch>
                      <a:fillRect/>
                    </a:stretch>
                  </pic:blipFill>
                  <pic:spPr>
                    <a:xfrm>
                      <a:off x="0" y="0"/>
                      <a:ext cx="5274310" cy="7466965"/>
                    </a:xfrm>
                    <a:prstGeom prst="rect">
                      <a:avLst/>
                    </a:prstGeom>
                    <a:noFill/>
                    <a:ln w="9525">
                      <a:noFill/>
                    </a:ln>
                  </pic:spPr>
                </pic:pic>
              </a:graphicData>
            </a:graphic>
          </wp:inline>
        </w:drawing>
      </w:r>
    </w:p>
    <w:p>
      <w:pPr>
        <w:numPr>
          <w:ilvl w:val="0"/>
          <w:numId w:val="0"/>
        </w:numPr>
        <w:jc w:val="both"/>
      </w:pPr>
    </w:p>
    <w:p>
      <w:pPr>
        <w:numPr>
          <w:ilvl w:val="0"/>
          <w:numId w:val="0"/>
        </w:numPr>
        <w:jc w:val="both"/>
      </w:pPr>
    </w:p>
    <w:p>
      <w:pPr>
        <w:numPr>
          <w:ilvl w:val="0"/>
          <w:numId w:val="0"/>
        </w:numPr>
        <w:jc w:val="both"/>
      </w:pPr>
    </w:p>
    <w:p>
      <w:pPr>
        <w:numPr>
          <w:ilvl w:val="0"/>
          <w:numId w:val="0"/>
        </w:numPr>
        <w:jc w:val="both"/>
      </w:pPr>
    </w:p>
    <w:p>
      <w:pPr>
        <w:numPr>
          <w:ilvl w:val="0"/>
          <w:numId w:val="0"/>
        </w:numPr>
        <w:jc w:val="both"/>
      </w:pPr>
    </w:p>
    <w:p>
      <w:pPr>
        <w:numPr>
          <w:ilvl w:val="0"/>
          <w:numId w:val="0"/>
        </w:numPr>
        <w:jc w:val="both"/>
      </w:pPr>
    </w:p>
    <w:p>
      <w:pPr>
        <w:numPr>
          <w:ilvl w:val="0"/>
          <w:numId w:val="0"/>
        </w:numPr>
        <w:jc w:val="both"/>
      </w:pPr>
      <w:bookmarkStart w:id="0" w:name="_GoBack"/>
      <w:bookmarkEnd w:id="0"/>
    </w:p>
    <w:p>
      <w:pPr>
        <w:numPr>
          <w:ilvl w:val="0"/>
          <w:numId w:val="6"/>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名词解释</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一、全口径预算：根据预算法第 5 条，指将全部政府收支纳入预算，并实行与其性质相适应的管理和监督，使政府预算做到体系完整、结构清晰、权责匹配、公开透明。包括一般公共预算、政府性基金预算、国有资本经营预算、社会保险基金预算。</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二、财政拨款收入：指市财政当年拨付的资金。</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三、其他收入：指除“财政拨款收入”、“事业收入”“经营收入”等以外的收入。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四、一般公共服务支出：反映一般公共服务的支出。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五、社会保障和就业支出：反映本单位在社会保障和就业方面的支出。</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六、医疗卫生与计划生育支出：反映本单位医疗卫生与计划生育管理方面的支出。</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七、城乡社区支出：反映本单位在城乡社区事务的支出。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八、财政事务：反映本单位财政事务方面的支出。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九、基本支出：指为保障机构正常运转、完成日常支出工作任务而发生的人员支出和公用支出。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十、项目支出：指在基本支出之外为完成特定行政任务和事业发展目标所发生的支出。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十一、行政运行：反映本单位的基本支出。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十二、财政委托业务支出：反映财政委托评审机构进行财政投资评审等机构代理业务发生的支出。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十三、一般行政管理事务支出：反映行政单位（包括实行公务员管理的事业单位）未单独设置项级科目的其他项目支出。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十四、财政对失业保险基金的补助支出：反映本单位对失业基金的补助支出。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十五、归口管理的行政单位离退休支出：反映归口管理的行政单位（包括实行公务员管理的事业单位）开支的离退休经费。</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十六、死亡抚恤：反映按规定用于病故人员家属的一次性和定期抚恤金以及丧葬补助费。</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十七、行政单位医疗支出：反映本单位基本医疗保险缴费经费。</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十八、医疗卫生与计划生育支出：反映医疗卫生与计划生育管理方面的支出。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十九、农业土地资金及对应专项债务收入安排的支出：反映从计提的农业土地开发资金中安排用于农业土地开发的支出。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二十、住房公积金：反映按规定比例为职工缴纳的住房公积金。</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二十一、购房补贴：反映按房改政策规定向符合条件职工（含离退休人员）发放的用于购买住房的补贴。</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二十二、基本工资：反映按规定发放的基本工资，包括公务员的职务、级别工资；机关工人的岗位工资、技术等级工资。</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二十三、津贴补贴：反映本单位机关工作人员岗位津贴。</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二十四、奖金：反映机关工作人员年终一次性奖金。</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二十五、其他社会保障缴费：反映单位为职工缴纳的基本医疗、失业、工伤、生育等社会保险费，残疾人就业保障金。</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二十六、其他工资福利支出：反映上述项目未包括的人员支出，如各种加班工资、病假两个月以上期间的人员工资 、编制外长期聘用人员、公务员及参照和依照公务员制度管理的单位工作人员转入企业工作并按规定参加企业职工基本养老保险后给予一次性补贴等。</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二十七、办公费：反映单位购买财务会计制度规定不符合固定资产确认标准的日常办公用品、书报杂志等支出。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二十八、公务接待费：反映单位按规定开支的各类公务接待费用。</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二十九、退休费：反映单位退休人员的退休费和其他补贴。</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三十、其他对个人和家庭的补助支出：反映未包括在上述科目的对个人和家庭的补助支出。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三十一、“三公”经费：纳入预决算管理的“三公”经费 ，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反映单位按规定开支的各类公务接待（含外宾接待）支出。</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三十二、机关运行经费：为保障行政单位（含参照公务员法管理的事业各单位）运行用于购买货物和服务的各项资金，包括办公及印刷费、邮电费、差旅费、会议费、福利费 、日常维修费、专用材料及一般设备购置费、办公用房水电费 、办公用房取暖费、办公用房物业管理费、公务用车运行维护费。</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ab/>
      </w:r>
    </w:p>
    <w:p>
      <w:pPr>
        <w:numPr>
          <w:ilvl w:val="0"/>
          <w:numId w:val="0"/>
        </w:numPr>
        <w:jc w:val="both"/>
        <w:rPr>
          <w:rFonts w:hint="eastAsia" w:ascii="宋体" w:hAnsi="宋体" w:eastAsia="宋体" w:cs="宋体"/>
          <w:sz w:val="28"/>
          <w:szCs w:val="28"/>
          <w:lang w:val="en-US" w:eastAsia="zh-CN"/>
        </w:rPr>
      </w:pPr>
    </w:p>
    <w:p>
      <w:pPr>
        <w:numPr>
          <w:ilvl w:val="0"/>
          <w:numId w:val="0"/>
        </w:numPr>
        <w:jc w:val="both"/>
        <w:rPr>
          <w:rFonts w:hint="eastAsia"/>
          <w:lang w:val="en-US" w:eastAsia="zh-CN"/>
        </w:rPr>
      </w:pPr>
    </w:p>
    <w:p>
      <w:pPr>
        <w:numPr>
          <w:ilvl w:val="0"/>
          <w:numId w:val="0"/>
        </w:numPr>
        <w:ind w:firstLine="640"/>
        <w:jc w:val="both"/>
        <w:rPr>
          <w:rFonts w:hint="eastAsia" w:ascii="宋体" w:hAnsi="宋体" w:eastAsia="宋体" w:cs="宋体"/>
          <w:sz w:val="28"/>
          <w:szCs w:val="28"/>
          <w:lang w:val="en-US" w:eastAsia="zh-CN"/>
        </w:rPr>
      </w:pPr>
    </w:p>
    <w:p>
      <w:pPr>
        <w:numPr>
          <w:ilvl w:val="0"/>
          <w:numId w:val="0"/>
        </w:numPr>
        <w:ind w:leftChars="200"/>
        <w:jc w:val="both"/>
        <w:rPr>
          <w:rFonts w:hint="eastAsia" w:ascii="黑体" w:hAnsi="黑体" w:eastAsia="黑体" w:cs="黑体"/>
          <w:b w:val="0"/>
          <w:bCs w:val="0"/>
          <w:sz w:val="28"/>
          <w:szCs w:val="28"/>
          <w:lang w:val="en-US" w:eastAsia="zh-CN"/>
        </w:rPr>
      </w:pPr>
    </w:p>
    <w:p>
      <w:pPr>
        <w:numPr>
          <w:ilvl w:val="0"/>
          <w:numId w:val="0"/>
        </w:numPr>
        <w:ind w:leftChars="200"/>
        <w:jc w:val="both"/>
        <w:rPr>
          <w:rFonts w:hint="eastAsia" w:ascii="黑体" w:hAnsi="黑体" w:eastAsia="黑体" w:cs="黑体"/>
          <w:b w:val="0"/>
          <w:bCs w:val="0"/>
          <w:sz w:val="28"/>
          <w:szCs w:val="28"/>
          <w:lang w:val="en-US" w:eastAsia="zh-CN"/>
        </w:rPr>
      </w:pPr>
    </w:p>
    <w:p>
      <w:pPr>
        <w:ind w:firstLine="560" w:firstLineChars="200"/>
        <w:rPr>
          <w:rFonts w:hint="eastAsia"/>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D2C55"/>
    <w:multiLevelType w:val="singleLevel"/>
    <w:tmpl w:val="9B8D2C55"/>
    <w:lvl w:ilvl="0" w:tentative="0">
      <w:start w:val="2"/>
      <w:numFmt w:val="chineseCounting"/>
      <w:suff w:val="space"/>
      <w:lvlText w:val="第%1部分"/>
      <w:lvlJc w:val="left"/>
      <w:rPr>
        <w:rFonts w:hint="eastAsia"/>
      </w:rPr>
    </w:lvl>
  </w:abstractNum>
  <w:abstractNum w:abstractNumId="1">
    <w:nsid w:val="CA9FE052"/>
    <w:multiLevelType w:val="singleLevel"/>
    <w:tmpl w:val="CA9FE052"/>
    <w:lvl w:ilvl="0" w:tentative="0">
      <w:start w:val="6"/>
      <w:numFmt w:val="chineseCounting"/>
      <w:suff w:val="nothing"/>
      <w:lvlText w:val="%1、"/>
      <w:lvlJc w:val="left"/>
      <w:rPr>
        <w:rFonts w:hint="eastAsia"/>
      </w:rPr>
    </w:lvl>
  </w:abstractNum>
  <w:abstractNum w:abstractNumId="2">
    <w:nsid w:val="59EF7607"/>
    <w:multiLevelType w:val="multilevel"/>
    <w:tmpl w:val="59EF760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5F2250"/>
    <w:multiLevelType w:val="singleLevel"/>
    <w:tmpl w:val="5A5F2250"/>
    <w:lvl w:ilvl="0" w:tentative="0">
      <w:start w:val="1"/>
      <w:numFmt w:val="chineseCounting"/>
      <w:suff w:val="nothing"/>
      <w:lvlText w:val="%1、"/>
      <w:lvlJc w:val="left"/>
    </w:lvl>
  </w:abstractNum>
  <w:abstractNum w:abstractNumId="4">
    <w:nsid w:val="5A5F2384"/>
    <w:multiLevelType w:val="singleLevel"/>
    <w:tmpl w:val="5A5F2384"/>
    <w:lvl w:ilvl="0" w:tentative="0">
      <w:start w:val="1"/>
      <w:numFmt w:val="chineseCounting"/>
      <w:suff w:val="nothing"/>
      <w:lvlText w:val="%1、"/>
      <w:lvlJc w:val="left"/>
    </w:lvl>
  </w:abstractNum>
  <w:abstractNum w:abstractNumId="5">
    <w:nsid w:val="5ECC90E2"/>
    <w:multiLevelType w:val="singleLevel"/>
    <w:tmpl w:val="5ECC90E2"/>
    <w:lvl w:ilvl="0" w:tentative="0">
      <w:start w:val="4"/>
      <w:numFmt w:val="chineseCounting"/>
      <w:suff w:val="space"/>
      <w:lvlText w:val="第%1部分"/>
      <w:lvlJc w:val="left"/>
      <w:rPr>
        <w:rFonts w:hint="eastAsi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F9478E"/>
    <w:rsid w:val="049936FC"/>
    <w:rsid w:val="04BC6302"/>
    <w:rsid w:val="085B30BF"/>
    <w:rsid w:val="09671650"/>
    <w:rsid w:val="09C848E0"/>
    <w:rsid w:val="09E617BD"/>
    <w:rsid w:val="0A2C5E44"/>
    <w:rsid w:val="0AC43BED"/>
    <w:rsid w:val="0D4526B9"/>
    <w:rsid w:val="11B5449D"/>
    <w:rsid w:val="14610242"/>
    <w:rsid w:val="15CD6D6F"/>
    <w:rsid w:val="16B1161A"/>
    <w:rsid w:val="1DED175F"/>
    <w:rsid w:val="20C95670"/>
    <w:rsid w:val="20D42720"/>
    <w:rsid w:val="224B4E0C"/>
    <w:rsid w:val="22DB2A24"/>
    <w:rsid w:val="22F327C4"/>
    <w:rsid w:val="23F637D0"/>
    <w:rsid w:val="2599104A"/>
    <w:rsid w:val="27852215"/>
    <w:rsid w:val="28476D01"/>
    <w:rsid w:val="34CB5BB5"/>
    <w:rsid w:val="34ED15F3"/>
    <w:rsid w:val="38ED528D"/>
    <w:rsid w:val="3E454AFD"/>
    <w:rsid w:val="3F5265A1"/>
    <w:rsid w:val="3FB93496"/>
    <w:rsid w:val="43066FAB"/>
    <w:rsid w:val="437730F6"/>
    <w:rsid w:val="45301322"/>
    <w:rsid w:val="456842B0"/>
    <w:rsid w:val="45A55B8B"/>
    <w:rsid w:val="4618050D"/>
    <w:rsid w:val="46E70BA6"/>
    <w:rsid w:val="48990D71"/>
    <w:rsid w:val="4C0D5576"/>
    <w:rsid w:val="4C757A4B"/>
    <w:rsid w:val="4D735432"/>
    <w:rsid w:val="4E9265F0"/>
    <w:rsid w:val="51E87080"/>
    <w:rsid w:val="54E5220A"/>
    <w:rsid w:val="5726685E"/>
    <w:rsid w:val="59A25C6A"/>
    <w:rsid w:val="5C060BFD"/>
    <w:rsid w:val="62243D83"/>
    <w:rsid w:val="62656456"/>
    <w:rsid w:val="626A4D4C"/>
    <w:rsid w:val="646949F7"/>
    <w:rsid w:val="67541258"/>
    <w:rsid w:val="67C938D3"/>
    <w:rsid w:val="6BA0081D"/>
    <w:rsid w:val="6C401BE7"/>
    <w:rsid w:val="6DC213E4"/>
    <w:rsid w:val="6F0C6283"/>
    <w:rsid w:val="747A27E3"/>
    <w:rsid w:val="75AF2F79"/>
    <w:rsid w:val="77EA54E5"/>
    <w:rsid w:val="7D076F4E"/>
    <w:rsid w:val="7FB01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2018-03-27T08:04:00Z</dcterms:created>
  <dc:creator>陈早</dc:creator>
  <cp:lastModifiedBy>陈早</cp:lastModifiedBy>
  <dcterms:modified xsi:type="dcterms:W3CDTF">2018-03-31T13:37:00Z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