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2017年</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罗定市龙湾镇中心小学部门预算</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sz w:val="84"/>
          <w:szCs w:val="84"/>
          <w:lang w:val="en-US" w:eastAsia="zh-CN"/>
        </w:rPr>
        <w:br w:type="page"/>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center"/>
        <w:rPr>
          <w:rFonts w:hint="eastAsia" w:ascii="黑体" w:hAnsi="黑体" w:eastAsia="黑体" w:cs="黑体"/>
          <w:sz w:val="44"/>
          <w:szCs w:val="44"/>
          <w:lang w:val="en-US" w:eastAsia="zh-CN"/>
        </w:rPr>
      </w:pP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第一部分  罗定市龙湾镇中心小学概况</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2017年部门预算表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一般公共预算支出情况表（按功能分类科目）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一般公共预算基本支出情况表（按支出经济分类科目）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一般公共预算项目支出情况表（按支出经济分类科目）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一般公共预算安排的行政经费及“三公”经费预算表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政府性基金预算支出情况表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部门预算基本支出预算表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部门预算项目支出及其他支出预算表</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2017年部门预算情况说明</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第一部分 罗定市龙湾镇中心小学概况</w:t>
      </w:r>
    </w:p>
    <w:p>
      <w:pPr>
        <w:jc w:val="both"/>
        <w:rPr>
          <w:rFonts w:hint="eastAsia" w:ascii="黑体" w:hAnsi="黑体" w:eastAsia="黑体" w:cs="黑体"/>
          <w:sz w:val="44"/>
          <w:szCs w:val="44"/>
          <w:lang w:val="en-US" w:eastAsia="zh-CN"/>
        </w:rPr>
      </w:pPr>
    </w:p>
    <w:p>
      <w:pPr>
        <w:numPr>
          <w:ilvl w:val="0"/>
          <w:numId w:val="3"/>
        </w:num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主要职责</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（一）认真贯彻落实党和国家的方针政策，正确执行上级主管部门的决议和指示，全面实施素质教育，培养德智体美等全面发展的社会主义事业建设者和接班人。</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（二）根据教育规律、社会要求和学校实际，组织制定学校发展的远景规划、近期目标、学年和学期各项工作计划及各项工作指标并组织实施。</w:t>
      </w:r>
    </w:p>
    <w:p>
      <w:pPr>
        <w:numPr>
          <w:ilvl w:val="0"/>
          <w:numId w:val="0"/>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二、机构设置</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（一）本部门无下属单位，部门预算为厅（委、局、办）本级预算。</w:t>
      </w:r>
    </w:p>
    <w:p>
      <w:pPr>
        <w:spacing w:line="64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（二）本部门内设机构、人员构成情况：我校是一所独立核算单位，机构分设校长办公室1个，校长1名；业务办公室1个，人员3名；财务办公室1个，人员2名；教研办公室1个，人员3名。2017年度我校共有教师</w:t>
      </w:r>
      <w:r>
        <w:rPr>
          <w:rFonts w:hint="eastAsia" w:ascii="仿宋_GB2312" w:eastAsia="仿宋_GB2312"/>
          <w:sz w:val="32"/>
          <w:szCs w:val="32"/>
          <w:lang w:val="en-US" w:eastAsia="zh-CN"/>
        </w:rPr>
        <w:t>200</w:t>
      </w:r>
      <w:r>
        <w:rPr>
          <w:rFonts w:hint="eastAsia" w:ascii="仿宋_GB2312" w:hAnsi="仿宋_GB2312" w:eastAsia="仿宋_GB2312" w:cs="仿宋_GB2312"/>
          <w:sz w:val="32"/>
          <w:szCs w:val="32"/>
          <w:lang w:val="en-US" w:eastAsia="zh-CN"/>
        </w:rPr>
        <w:t>人，其中在职教师127人，退休教师73人。</w:t>
      </w:r>
    </w:p>
    <w:p>
      <w:pPr>
        <w:spacing w:line="640" w:lineRule="exact"/>
        <w:ind w:firstLine="640" w:firstLineChars="200"/>
        <w:rPr>
          <w:rFonts w:hint="eastAsia" w:ascii="仿宋_GB2312" w:eastAsia="仿宋_GB2312"/>
          <w:sz w:val="32"/>
          <w:szCs w:val="32"/>
        </w:rPr>
      </w:pPr>
    </w:p>
    <w:p>
      <w:pPr>
        <w:spacing w:line="64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w:t>
      </w:r>
    </w:p>
    <w:p>
      <w:pPr>
        <w:numPr>
          <w:ilvl w:val="0"/>
          <w:numId w:val="0"/>
        </w:numPr>
        <w:ind w:firstLine="880" w:firstLineChars="200"/>
        <w:jc w:val="both"/>
        <w:rPr>
          <w:rFonts w:hint="eastAsia" w:ascii="黑体" w:hAnsi="黑体" w:eastAsia="黑体" w:cs="黑体"/>
          <w:sz w:val="44"/>
          <w:szCs w:val="44"/>
          <w:lang w:val="en-US" w:eastAsia="zh-CN"/>
        </w:rPr>
        <w:sectPr>
          <w:pgSz w:w="11906" w:h="16838"/>
          <w:pgMar w:top="1440" w:right="1800" w:bottom="1440" w:left="1800" w:header="851" w:footer="992" w:gutter="0"/>
          <w:cols w:space="425" w:num="1"/>
          <w:docGrid w:type="lines" w:linePitch="312" w:charSpace="0"/>
        </w:sect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第二部分  2017年部门预算表</w:t>
      </w:r>
    </w:p>
    <w:p>
      <w:pPr>
        <w:jc w:val="both"/>
        <w:rPr>
          <w:rFonts w:hint="eastAsia" w:ascii="楷体_GB2312" w:hAnsi="楷体_GB2312" w:eastAsia="楷体_GB2312" w:cs="楷体_GB2312"/>
          <w:sz w:val="32"/>
          <w:szCs w:val="32"/>
          <w:lang w:val="en-US" w:eastAsia="zh-CN"/>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657215" cy="4624070"/>
            <wp:effectExtent l="0" t="0" r="635" b="508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5657215" cy="4624070"/>
                    </a:xfrm>
                    <a:prstGeom prst="rect">
                      <a:avLst/>
                    </a:prstGeom>
                    <a:noFill/>
                    <a:ln w="9525">
                      <a:noFill/>
                    </a:ln>
                  </pic:spPr>
                </pic:pic>
              </a:graphicData>
            </a:graphic>
          </wp:inline>
        </w:drawing>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172075" cy="5705475"/>
            <wp:effectExtent l="0" t="0" r="9525" b="9525"/>
            <wp:docPr id="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1"/>
                    </pic:cNvPicPr>
                  </pic:nvPicPr>
                  <pic:blipFill>
                    <a:blip r:embed="rId5"/>
                    <a:stretch>
                      <a:fillRect/>
                    </a:stretch>
                  </pic:blipFill>
                  <pic:spPr>
                    <a:xfrm>
                      <a:off x="0" y="0"/>
                      <a:ext cx="5172075" cy="5705475"/>
                    </a:xfrm>
                    <a:prstGeom prst="rect">
                      <a:avLst/>
                    </a:prstGeom>
                    <a:noFill/>
                    <a:ln w="9525">
                      <a:noFill/>
                    </a:ln>
                  </pic:spPr>
                </pic:pic>
              </a:graphicData>
            </a:graphic>
          </wp:inline>
        </w:drawing>
      </w:r>
    </w:p>
    <w:p>
      <w:pPr>
        <w:jc w:val="center"/>
        <w:rPr>
          <w:rFonts w:hint="eastAsia" w:ascii="方正小标宋简体" w:hAnsi="方正小标宋简体" w:eastAsia="方正小标宋简体" w:cs="方正小标宋简体"/>
          <w:sz w:val="44"/>
          <w:szCs w:val="44"/>
          <w:lang w:val="en-US" w:eastAsia="zh-CN"/>
        </w:rPr>
      </w:pPr>
    </w:p>
    <w:p>
      <w:pPr>
        <w:jc w:val="both"/>
      </w:pPr>
    </w:p>
    <w:p>
      <w:pPr>
        <w:jc w:val="both"/>
        <w:rPr>
          <w:rFonts w:hint="eastAsia"/>
          <w:lang w:val="en-US" w:eastAsia="zh-CN"/>
        </w:rPr>
      </w:pPr>
    </w:p>
    <w:p>
      <w:pPr>
        <w:jc w:val="both"/>
      </w:pPr>
    </w:p>
    <w:p>
      <w:pPr>
        <w:jc w:val="both"/>
      </w:pPr>
    </w:p>
    <w:p>
      <w:pPr>
        <w:jc w:val="both"/>
      </w:pPr>
    </w:p>
    <w:p>
      <w:pPr>
        <w:jc w:val="both"/>
      </w:pPr>
    </w:p>
    <w:p>
      <w:pPr>
        <w:jc w:val="both"/>
      </w:pPr>
    </w:p>
    <w:p>
      <w:pPr>
        <w:jc w:val="both"/>
      </w:pPr>
    </w:p>
    <w:p>
      <w:pPr>
        <w:jc w:val="both"/>
      </w:pPr>
    </w:p>
    <w:p>
      <w:pPr>
        <w:jc w:val="both"/>
      </w:pPr>
    </w:p>
    <w:p>
      <w:pPr>
        <w:jc w:val="both"/>
        <w:sectPr>
          <w:pgSz w:w="11906" w:h="16838"/>
          <w:pgMar w:top="1440" w:right="1800" w:bottom="1440" w:left="1800" w:header="851" w:footer="992" w:gutter="0"/>
          <w:cols w:space="425" w:num="1"/>
          <w:docGrid w:type="lines" w:linePitch="312" w:charSpace="0"/>
        </w:sect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105400" cy="6172200"/>
            <wp:effectExtent l="0" t="0" r="0" b="0"/>
            <wp:docPr id="7"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IMG_256"/>
                    <pic:cNvPicPr>
                      <a:picLocks noChangeAspect="1"/>
                    </pic:cNvPicPr>
                  </pic:nvPicPr>
                  <pic:blipFill>
                    <a:blip r:embed="rId6"/>
                    <a:stretch>
                      <a:fillRect/>
                    </a:stretch>
                  </pic:blipFill>
                  <pic:spPr>
                    <a:xfrm>
                      <a:off x="0" y="0"/>
                      <a:ext cx="5105400" cy="6172200"/>
                    </a:xfrm>
                    <a:prstGeom prst="rect">
                      <a:avLst/>
                    </a:prstGeom>
                    <a:noFill/>
                    <a:ln w="9525">
                      <a:noFill/>
                    </a:ln>
                  </pic:spPr>
                </pic:pic>
              </a:graphicData>
            </a:graphic>
          </wp:inline>
        </w:drawing>
      </w:r>
    </w:p>
    <w:p>
      <w:pPr>
        <w:jc w:val="both"/>
        <w:sectPr>
          <w:pgSz w:w="11906" w:h="16838"/>
          <w:pgMar w:top="1440" w:right="1800" w:bottom="1440" w:left="1800" w:header="851" w:footer="992" w:gutter="0"/>
          <w:cols w:space="425" w:num="1"/>
          <w:docGrid w:type="lines" w:linePitch="312" w:charSpace="0"/>
        </w:sect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238115" cy="1972945"/>
            <wp:effectExtent l="0" t="0" r="635" b="8255"/>
            <wp:docPr id="15"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descr="IMG_256"/>
                    <pic:cNvPicPr>
                      <a:picLocks noChangeAspect="1"/>
                    </pic:cNvPicPr>
                  </pic:nvPicPr>
                  <pic:blipFill>
                    <a:blip r:embed="rId7"/>
                    <a:stretch>
                      <a:fillRect/>
                    </a:stretch>
                  </pic:blipFill>
                  <pic:spPr>
                    <a:xfrm>
                      <a:off x="0" y="0"/>
                      <a:ext cx="5238115" cy="1972945"/>
                    </a:xfrm>
                    <a:prstGeom prst="rect">
                      <a:avLst/>
                    </a:prstGeom>
                    <a:noFill/>
                    <a:ln w="9525">
                      <a:noFill/>
                    </a:ln>
                  </pic:spPr>
                </pic:pic>
              </a:graphicData>
            </a:graphic>
          </wp:inline>
        </w:drawing>
      </w:r>
    </w:p>
    <w:p>
      <w:pPr>
        <w:jc w:val="both"/>
      </w:pPr>
    </w:p>
    <w:p>
      <w:pPr>
        <w:jc w:val="both"/>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04800" cy="304800"/>
            <wp:effectExtent l="0" t="0" r="0" b="0"/>
            <wp:docPr id="16"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descr="IMG_256"/>
                    <pic:cNvPicPr>
                      <a:picLocks noChangeAspect="1"/>
                    </pic:cNvPicPr>
                  </pic:nvPicPr>
                  <pic:blipFill>
                    <a:blip r:embed="rId8"/>
                    <a:stretch>
                      <a:fillRect/>
                    </a:stretch>
                  </pic:blipFill>
                  <pic:spPr>
                    <a:xfrm>
                      <a:off x="0" y="0"/>
                      <a:ext cx="304800" cy="304800"/>
                    </a:xfrm>
                    <a:prstGeom prst="rect">
                      <a:avLst/>
                    </a:prstGeom>
                    <a:noFill/>
                    <a:ln w="9525">
                      <a:noFill/>
                    </a:ln>
                  </pic:spPr>
                </pic:pic>
              </a:graphicData>
            </a:graphic>
          </wp:inline>
        </w:drawing>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419090" cy="3451860"/>
            <wp:effectExtent l="0" t="0" r="10160" b="15240"/>
            <wp:docPr id="17"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descr="IMG_256"/>
                    <pic:cNvPicPr>
                      <a:picLocks noChangeAspect="1"/>
                    </pic:cNvPicPr>
                  </pic:nvPicPr>
                  <pic:blipFill>
                    <a:blip r:embed="rId9"/>
                    <a:stretch>
                      <a:fillRect/>
                    </a:stretch>
                  </pic:blipFill>
                  <pic:spPr>
                    <a:xfrm>
                      <a:off x="0" y="0"/>
                      <a:ext cx="5419090" cy="3451860"/>
                    </a:xfrm>
                    <a:prstGeom prst="rect">
                      <a:avLst/>
                    </a:prstGeom>
                    <a:noFill/>
                    <a:ln w="9525">
                      <a:noFill/>
                    </a:ln>
                  </pic:spPr>
                </pic:pic>
              </a:graphicData>
            </a:graphic>
          </wp:inline>
        </w:drawing>
      </w:r>
    </w:p>
    <w:p>
      <w:pPr>
        <w:jc w:val="both"/>
      </w:pPr>
    </w:p>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4383405" cy="3769995"/>
            <wp:effectExtent l="0" t="0" r="17145" b="1905"/>
            <wp:docPr id="18"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descr="IMG_256"/>
                    <pic:cNvPicPr>
                      <a:picLocks noChangeAspect="1"/>
                    </pic:cNvPicPr>
                  </pic:nvPicPr>
                  <pic:blipFill>
                    <a:blip r:embed="rId10"/>
                    <a:stretch>
                      <a:fillRect/>
                    </a:stretch>
                  </pic:blipFill>
                  <pic:spPr>
                    <a:xfrm>
                      <a:off x="0" y="0"/>
                      <a:ext cx="4383405" cy="3769995"/>
                    </a:xfrm>
                    <a:prstGeom prst="rect">
                      <a:avLst/>
                    </a:prstGeom>
                    <a:noFill/>
                    <a:ln w="9525">
                      <a:noFill/>
                    </a:ln>
                  </pic:spPr>
                </pic:pic>
              </a:graphicData>
            </a:graphic>
          </wp:inline>
        </w:drawing>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4392930" cy="3629025"/>
            <wp:effectExtent l="0" t="0" r="7620" b="9525"/>
            <wp:docPr id="19"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8" descr="IMG_256"/>
                    <pic:cNvPicPr>
                      <a:picLocks noChangeAspect="1"/>
                    </pic:cNvPicPr>
                  </pic:nvPicPr>
                  <pic:blipFill>
                    <a:blip r:embed="rId11"/>
                    <a:stretch>
                      <a:fillRect/>
                    </a:stretch>
                  </pic:blipFill>
                  <pic:spPr>
                    <a:xfrm>
                      <a:off x="0" y="0"/>
                      <a:ext cx="4392930" cy="3629025"/>
                    </a:xfrm>
                    <a:prstGeom prst="rect">
                      <a:avLst/>
                    </a:prstGeom>
                    <a:noFill/>
                    <a:ln w="9525">
                      <a:noFill/>
                    </a:ln>
                  </pic:spPr>
                </pic:pic>
              </a:graphicData>
            </a:graphic>
          </wp:inline>
        </w:drawing>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4371975" cy="932180"/>
            <wp:effectExtent l="0" t="0" r="9525" b="1270"/>
            <wp:docPr id="20"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9" descr="IMG_256"/>
                    <pic:cNvPicPr>
                      <a:picLocks noChangeAspect="1"/>
                    </pic:cNvPicPr>
                  </pic:nvPicPr>
                  <pic:blipFill>
                    <a:blip r:embed="rId12"/>
                    <a:stretch>
                      <a:fillRect/>
                    </a:stretch>
                  </pic:blipFill>
                  <pic:spPr>
                    <a:xfrm>
                      <a:off x="0" y="0"/>
                      <a:ext cx="4371975" cy="932180"/>
                    </a:xfrm>
                    <a:prstGeom prst="rect">
                      <a:avLst/>
                    </a:prstGeom>
                    <a:noFill/>
                    <a:ln w="9525">
                      <a:noFill/>
                    </a:ln>
                  </pic:spPr>
                </pic:pic>
              </a:graphicData>
            </a:graphic>
          </wp:inline>
        </w:drawing>
      </w:r>
    </w:p>
    <w:p>
      <w:pPr>
        <w:jc w:val="left"/>
        <w:rPr>
          <w:lang w:val="en-US" w:eastAsia="zh-CN"/>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572760" cy="4733925"/>
            <wp:effectExtent l="0" t="0" r="8890" b="9525"/>
            <wp:docPr id="21"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descr="IMG_256"/>
                    <pic:cNvPicPr>
                      <a:picLocks noChangeAspect="1"/>
                    </pic:cNvPicPr>
                  </pic:nvPicPr>
                  <pic:blipFill>
                    <a:blip r:embed="rId13"/>
                    <a:stretch>
                      <a:fillRect/>
                    </a:stretch>
                  </pic:blipFill>
                  <pic:spPr>
                    <a:xfrm>
                      <a:off x="0" y="0"/>
                      <a:ext cx="5572760" cy="4733925"/>
                    </a:xfrm>
                    <a:prstGeom prst="rect">
                      <a:avLst/>
                    </a:prstGeom>
                    <a:noFill/>
                    <a:ln w="9525">
                      <a:noFill/>
                    </a:ln>
                  </pic:spPr>
                </pic:pic>
              </a:graphicData>
            </a:graphic>
          </wp:inline>
        </w:drawing>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545455" cy="2495550"/>
            <wp:effectExtent l="0" t="0" r="17145" b="0"/>
            <wp:docPr id="22"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1" descr="IMG_256"/>
                    <pic:cNvPicPr>
                      <a:picLocks noChangeAspect="1"/>
                    </pic:cNvPicPr>
                  </pic:nvPicPr>
                  <pic:blipFill>
                    <a:blip r:embed="rId14"/>
                    <a:stretch>
                      <a:fillRect/>
                    </a:stretch>
                  </pic:blipFill>
                  <pic:spPr>
                    <a:xfrm>
                      <a:off x="0" y="0"/>
                      <a:ext cx="5545455" cy="2495550"/>
                    </a:xfrm>
                    <a:prstGeom prst="rect">
                      <a:avLst/>
                    </a:prstGeom>
                    <a:noFill/>
                    <a:ln w="9525">
                      <a:noFill/>
                    </a:ln>
                  </pic:spPr>
                </pic:pic>
              </a:graphicData>
            </a:graphic>
          </wp:inline>
        </w:drawing>
      </w:r>
    </w:p>
    <w:p>
      <w:pPr>
        <w:jc w:val="both"/>
        <w:rPr>
          <w:rFonts w:hint="eastAsia" w:eastAsiaTheme="minorEastAsia"/>
          <w:lang w:eastAsia="zh-CN"/>
        </w:rPr>
      </w:pPr>
      <w:r>
        <w:rPr>
          <w:rFonts w:hint="eastAsia"/>
          <w:lang w:eastAsia="zh-CN"/>
        </w:rPr>
        <w:t>此表无数据。</w:t>
      </w:r>
    </w:p>
    <w:p>
      <w:pPr>
        <w:jc w:val="both"/>
      </w:pPr>
    </w:p>
    <w:p>
      <w:pPr>
        <w:jc w:val="both"/>
      </w:pPr>
    </w:p>
    <w:p>
      <w:pPr>
        <w:jc w:val="both"/>
      </w:pPr>
    </w:p>
    <w:p>
      <w:pPr>
        <w:jc w:val="both"/>
      </w:pPr>
    </w:p>
    <w:p>
      <w:pPr>
        <w:jc w:val="both"/>
      </w:pPr>
    </w:p>
    <w:p>
      <w:pPr>
        <w:jc w:val="both"/>
      </w:pPr>
    </w:p>
    <w:p>
      <w:pPr>
        <w:jc w:val="both"/>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267960" cy="4747260"/>
            <wp:effectExtent l="0" t="0" r="8890" b="15240"/>
            <wp:docPr id="23"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2" descr="IMG_256"/>
                    <pic:cNvPicPr>
                      <a:picLocks noChangeAspect="1"/>
                    </pic:cNvPicPr>
                  </pic:nvPicPr>
                  <pic:blipFill>
                    <a:blip r:embed="rId15"/>
                    <a:stretch>
                      <a:fillRect/>
                    </a:stretch>
                  </pic:blipFill>
                  <pic:spPr>
                    <a:xfrm>
                      <a:off x="0" y="0"/>
                      <a:ext cx="5267960" cy="4747260"/>
                    </a:xfrm>
                    <a:prstGeom prst="rect">
                      <a:avLst/>
                    </a:prstGeom>
                    <a:noFill/>
                    <a:ln w="9525">
                      <a:noFill/>
                    </a:ln>
                  </pic:spPr>
                </pic:pic>
              </a:graphicData>
            </a:graphic>
          </wp:inline>
        </w:drawing>
      </w:r>
    </w:p>
    <w:p>
      <w:pPr>
        <w:jc w:val="both"/>
      </w:pPr>
    </w:p>
    <w:p>
      <w:pPr>
        <w:jc w:val="both"/>
      </w:pPr>
    </w:p>
    <w:p>
      <w:pPr>
        <w:jc w:val="both"/>
      </w:pPr>
    </w:p>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5096510" cy="2367915"/>
            <wp:effectExtent l="0" t="0" r="8890" b="13335"/>
            <wp:docPr id="24" name="图片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3" descr="IMG_256"/>
                    <pic:cNvPicPr>
                      <a:picLocks noChangeAspect="1"/>
                    </pic:cNvPicPr>
                  </pic:nvPicPr>
                  <pic:blipFill>
                    <a:blip r:embed="rId16"/>
                    <a:stretch>
                      <a:fillRect/>
                    </a:stretch>
                  </pic:blipFill>
                  <pic:spPr>
                    <a:xfrm>
                      <a:off x="0" y="0"/>
                      <a:ext cx="5096510" cy="2367915"/>
                    </a:xfrm>
                    <a:prstGeom prst="rect">
                      <a:avLst/>
                    </a:prstGeom>
                    <a:noFill/>
                    <a:ln w="9525">
                      <a:noFill/>
                    </a:ln>
                  </pic:spPr>
                </pic:pic>
              </a:graphicData>
            </a:graphic>
          </wp:inline>
        </w:drawing>
      </w:r>
    </w:p>
    <w:p>
      <w:pPr>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此表无数据。</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240655" cy="2476500"/>
            <wp:effectExtent l="0" t="0" r="17145" b="0"/>
            <wp:docPr id="27"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6" descr="IMG_256"/>
                    <pic:cNvPicPr>
                      <a:picLocks noChangeAspect="1"/>
                    </pic:cNvPicPr>
                  </pic:nvPicPr>
                  <pic:blipFill>
                    <a:blip r:embed="rId17"/>
                    <a:stretch>
                      <a:fillRect/>
                    </a:stretch>
                  </pic:blipFill>
                  <pic:spPr>
                    <a:xfrm>
                      <a:off x="0" y="0"/>
                      <a:ext cx="5240655" cy="2476500"/>
                    </a:xfrm>
                    <a:prstGeom prst="rect">
                      <a:avLst/>
                    </a:prstGeom>
                    <a:noFill/>
                    <a:ln w="9525">
                      <a:noFill/>
                    </a:ln>
                  </pic:spPr>
                </pic:pic>
              </a:graphicData>
            </a:graphic>
          </wp:inline>
        </w:drawing>
      </w:r>
    </w:p>
    <w:p>
      <w:pPr>
        <w:keepNext w:val="0"/>
        <w:keepLines w:val="0"/>
        <w:widowControl/>
        <w:suppressLineNumbers w:val="0"/>
        <w:jc w:val="left"/>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04800" cy="304800"/>
            <wp:effectExtent l="0" t="0" r="0" b="0"/>
            <wp:docPr id="26"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5" descr="IMG_256"/>
                    <pic:cNvPicPr>
                      <a:picLocks noChangeAspect="1"/>
                    </pic:cNvPicPr>
                  </pic:nvPicPr>
                  <pic:blipFill>
                    <a:blip r:embed="rId8"/>
                    <a:stretch>
                      <a:fillRect/>
                    </a:stretch>
                  </pic:blipFill>
                  <pic:spPr>
                    <a:xfrm>
                      <a:off x="0" y="0"/>
                      <a:ext cx="304800" cy="304800"/>
                    </a:xfrm>
                    <a:prstGeom prst="rect">
                      <a:avLst/>
                    </a:prstGeom>
                    <a:noFill/>
                    <a:ln w="9525">
                      <a:noFill/>
                    </a:ln>
                  </pic:spPr>
                </pic:pic>
              </a:graphicData>
            </a:graphic>
          </wp:inline>
        </w:drawing>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226050" cy="2144395"/>
            <wp:effectExtent l="0" t="0" r="12700" b="8255"/>
            <wp:docPr id="28" name="图片 1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7" descr="IMG_256"/>
                    <pic:cNvPicPr>
                      <a:picLocks noChangeAspect="1"/>
                    </pic:cNvPicPr>
                  </pic:nvPicPr>
                  <pic:blipFill>
                    <a:blip r:embed="rId18"/>
                    <a:stretch>
                      <a:fillRect/>
                    </a:stretch>
                  </pic:blipFill>
                  <pic:spPr>
                    <a:xfrm>
                      <a:off x="0" y="0"/>
                      <a:ext cx="5226050" cy="2144395"/>
                    </a:xfrm>
                    <a:prstGeom prst="rect">
                      <a:avLst/>
                    </a:prstGeom>
                    <a:noFill/>
                    <a:ln w="9525">
                      <a:noFill/>
                    </a:ln>
                  </pic:spPr>
                </pic:pic>
              </a:graphicData>
            </a:graphic>
          </wp:inline>
        </w:drawing>
      </w:r>
    </w:p>
    <w:p>
      <w:pPr>
        <w:jc w:val="both"/>
      </w:pPr>
    </w:p>
    <w:p>
      <w:pPr>
        <w:jc w:val="both"/>
        <w:rPr>
          <w:rFonts w:hint="eastAsia" w:eastAsiaTheme="minorEastAsia"/>
          <w:lang w:eastAsia="zh-CN"/>
        </w:rPr>
      </w:pPr>
      <w:r>
        <w:rPr>
          <w:rFonts w:hint="eastAsia"/>
          <w:lang w:eastAsia="zh-CN"/>
        </w:rPr>
        <w:t>此表无数据。</w:t>
      </w: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numPr>
          <w:ilvl w:val="0"/>
          <w:numId w:val="4"/>
        </w:num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分 2017年部门预算情况说明</w:t>
      </w:r>
    </w:p>
    <w:p>
      <w:pPr>
        <w:numPr>
          <w:ilvl w:val="0"/>
          <w:numId w:val="0"/>
        </w:numPr>
        <w:jc w:val="both"/>
        <w:rPr>
          <w:rFonts w:hint="eastAsia" w:ascii="方正小标宋简体" w:hAnsi="方正小标宋简体" w:eastAsia="方正小标宋简体" w:cs="方正小标宋简体"/>
          <w:sz w:val="44"/>
          <w:szCs w:val="44"/>
          <w:lang w:val="en-US" w:eastAsia="zh-CN"/>
        </w:rPr>
      </w:pP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部门预算收支增减变化情况</w:t>
      </w:r>
    </w:p>
    <w:p>
      <w:pPr>
        <w:spacing w:line="640" w:lineRule="exact"/>
        <w:ind w:firstLine="640" w:firstLineChars="200"/>
        <w:rPr>
          <w:rFonts w:hint="eastAsia" w:ascii="仿宋_GB2312" w:eastAsia="仿宋_GB2312"/>
          <w:sz w:val="32"/>
          <w:szCs w:val="32"/>
        </w:rPr>
      </w:pPr>
      <w:r>
        <w:rPr>
          <w:rFonts w:hint="eastAsia" w:ascii="仿宋_GB2312" w:eastAsia="仿宋_GB2312"/>
          <w:sz w:val="32"/>
          <w:szCs w:val="32"/>
        </w:rPr>
        <w:t>本年度收入预算1382万元，</w:t>
      </w:r>
      <w:r>
        <w:rPr>
          <w:rFonts w:hint="eastAsia" w:ascii="仿宋_GB2312" w:hAnsi="仿宋_GB2312" w:eastAsia="仿宋_GB2312" w:cs="仿宋_GB2312"/>
          <w:sz w:val="32"/>
          <w:szCs w:val="32"/>
          <w:lang w:val="en-US" w:eastAsia="zh-CN"/>
        </w:rPr>
        <w:t>比上年减少43万元，主要原因是今年没有了创强维修等项目故预算收入减少。</w:t>
      </w:r>
      <w:r>
        <w:rPr>
          <w:rFonts w:hint="eastAsia" w:ascii="仿宋_GB2312" w:eastAsia="仿宋_GB2312"/>
          <w:sz w:val="32"/>
          <w:szCs w:val="32"/>
        </w:rPr>
        <w:t>其中：1．财政预算拨款1382万元；2．财政专户拨款0万元； 3．其他收入0万元；4．上年结转、结余0万元。</w:t>
      </w:r>
    </w:p>
    <w:p>
      <w:pPr>
        <w:numPr>
          <w:ilvl w:val="0"/>
          <w:numId w:val="0"/>
        </w:numPr>
        <w:ind w:firstLine="640"/>
        <w:jc w:val="both"/>
        <w:rPr>
          <w:rFonts w:hint="eastAsia" w:ascii="黑体" w:hAnsi="黑体" w:eastAsia="黑体" w:cs="黑体"/>
          <w:sz w:val="32"/>
          <w:szCs w:val="32"/>
          <w:lang w:val="en-US" w:eastAsia="zh-CN"/>
        </w:rPr>
      </w:pPr>
      <w:r>
        <w:rPr>
          <w:rFonts w:hint="eastAsia" w:ascii="仿宋_GB2312" w:eastAsia="仿宋_GB2312"/>
          <w:sz w:val="32"/>
          <w:szCs w:val="32"/>
        </w:rPr>
        <w:t>本年度支出预算1382万元，</w:t>
      </w:r>
      <w:r>
        <w:rPr>
          <w:rFonts w:hint="eastAsia" w:ascii="仿宋_GB2312" w:hAnsi="仿宋_GB2312" w:eastAsia="仿宋_GB2312" w:cs="仿宋_GB2312"/>
          <w:sz w:val="32"/>
          <w:szCs w:val="32"/>
          <w:lang w:val="en-US" w:eastAsia="zh-CN"/>
        </w:rPr>
        <w:t>比上年减少43万元，主要原因是上年已进行创强验收，故今年支出预算减少。</w:t>
      </w:r>
      <w:r>
        <w:rPr>
          <w:rFonts w:hint="eastAsia" w:ascii="仿宋_GB2312" w:eastAsia="仿宋_GB2312"/>
          <w:sz w:val="32"/>
          <w:szCs w:val="32"/>
        </w:rPr>
        <w:t>其中：1．基本支出1382万元，（其中：工资福利支出961万元，商品和服务支出247万元，对个人和家庭的补助174万元）；2．项目支出0万元。</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“三公”经费安排情况说明</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2017年本部门“三公”经费预算安排2万元，比上年减少0.9万元，主要原因是创强验收完成，上级下乡视察指导适当减少。其中：因公出国（境）费0万元，比上年增加0万元，增长0%；公务用车购置及运行费0万元，比上年增加0万元，增长0%；公务接待费2万元，比上年减少0.9万元，主要原因是上级下乡指导次数减少，故接待费减少。</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机关运行经费安排情况</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2017年，本部门机关运行经费安排0万元。其中：办公费0万元，印刷费0万元，邮电费0万元，差旅费0万元，会议费0万元，福利费0万元，日常维修费0万元，专用材料及一般设备购置费0万元，办公用房水电费0万元，办公用房取暖费0万元，办公用房物业管理费0万元，公务用车运行维护费0万元。</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政府采购情况</w:t>
      </w:r>
    </w:p>
    <w:p>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2017年本部门政府采购安排0万元，其中：货物类采购预算0万元，工程类采购预算0万元，服务类采购预算0万元。</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国有资产占有使用情况</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截至2016年12月31日，本部门占有使用国有资产总体情况为：固定资产总价值1426.12万元，其中房屋建筑物价值1163.5万元，其他固定资产价值262.62万元。</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预算绩效信息公开情况</w:t>
      </w:r>
    </w:p>
    <w:p>
      <w:pPr>
        <w:numPr>
          <w:ilvl w:val="0"/>
          <w:numId w:val="0"/>
        </w:numPr>
        <w:ind w:firstLine="640"/>
        <w:jc w:val="both"/>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sz w:val="32"/>
          <w:szCs w:val="32"/>
          <w:lang w:val="en-US" w:eastAsia="zh-CN"/>
        </w:rPr>
        <w:t>2017年，本部门没有开展预算绩效信息公开。</w:t>
      </w:r>
    </w:p>
    <w:p>
      <w:pPr>
        <w:jc w:val="center"/>
        <w:rPr>
          <w:rFonts w:hint="eastAsia" w:ascii="方正小标宋简体" w:hAnsi="方正小标宋简体" w:eastAsia="方正小标宋简体" w:cs="方正小标宋简体"/>
          <w:sz w:val="44"/>
          <w:szCs w:val="44"/>
          <w:lang w:val="en-US" w:eastAsia="zh-CN"/>
        </w:rPr>
      </w:pPr>
      <w:bookmarkStart w:id="0" w:name="_GoBack"/>
      <w:bookmarkEnd w:id="0"/>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第四部分  名词解释</w:t>
      </w:r>
    </w:p>
    <w:p>
      <w:pPr>
        <w:ind w:firstLine="640" w:firstLineChars="200"/>
        <w:jc w:val="left"/>
        <w:rPr>
          <w:rFonts w:hint="eastAsia" w:ascii="楷体_GB2312" w:hAnsi="楷体_GB2312" w:eastAsia="楷体_GB2312" w:cs="楷体_GB2312"/>
          <w:sz w:val="32"/>
          <w:szCs w:val="32"/>
          <w:highlight w:val="lightGray"/>
          <w:lang w:val="en-US" w:eastAsia="zh-CN"/>
        </w:rPr>
      </w:pPr>
    </w:p>
    <w:p>
      <w:pPr>
        <w:ind w:firstLine="411" w:firstLineChars="128"/>
        <w:rPr>
          <w:rFonts w:ascii="仿宋_GB2312" w:eastAsia="仿宋_GB2312"/>
          <w:sz w:val="32"/>
          <w:szCs w:val="32"/>
        </w:rPr>
      </w:pPr>
      <w:r>
        <w:rPr>
          <w:rFonts w:hint="eastAsia" w:ascii="仿宋_GB2312" w:eastAsia="仿宋_GB2312"/>
          <w:b/>
          <w:sz w:val="32"/>
          <w:szCs w:val="32"/>
        </w:rPr>
        <w:t>一、</w:t>
      </w:r>
      <w:r>
        <w:rPr>
          <w:rFonts w:hint="eastAsia" w:ascii="仿宋_GB2312" w:eastAsia="仿宋_GB2312"/>
          <w:sz w:val="32"/>
          <w:szCs w:val="32"/>
        </w:rPr>
        <w:t>财政拨款收入：指市财政当年拨付的资金。</w:t>
      </w:r>
    </w:p>
    <w:p>
      <w:pPr>
        <w:ind w:firstLine="411" w:firstLineChars="128"/>
        <w:rPr>
          <w:rFonts w:ascii="仿宋_GB2312" w:eastAsia="仿宋_GB2312"/>
          <w:sz w:val="32"/>
          <w:szCs w:val="32"/>
        </w:rPr>
      </w:pPr>
      <w:r>
        <w:rPr>
          <w:rFonts w:hint="eastAsia" w:ascii="仿宋_GB2312" w:eastAsia="仿宋_GB2312"/>
          <w:b/>
          <w:sz w:val="32"/>
          <w:szCs w:val="32"/>
        </w:rPr>
        <w:t>二、</w:t>
      </w:r>
      <w:r>
        <w:rPr>
          <w:rFonts w:ascii="仿宋_GB2312" w:eastAsia="仿宋_GB2312"/>
          <w:sz w:val="32"/>
          <w:szCs w:val="32"/>
        </w:rPr>
        <w:t xml:space="preserve"> </w:t>
      </w:r>
      <w:r>
        <w:rPr>
          <w:rFonts w:hint="eastAsia" w:ascii="仿宋_GB2312" w:eastAsia="仿宋_GB2312"/>
          <w:sz w:val="32"/>
          <w:szCs w:val="32"/>
        </w:rPr>
        <w:t>事业收入：指事业单位开展专业业务活动及辅助活动所取得的收入。</w:t>
      </w:r>
    </w:p>
    <w:p>
      <w:pPr>
        <w:ind w:firstLine="411" w:firstLineChars="128"/>
        <w:rPr>
          <w:rFonts w:ascii="仿宋_GB2312" w:eastAsia="仿宋_GB2312"/>
          <w:sz w:val="32"/>
          <w:szCs w:val="32"/>
        </w:rPr>
      </w:pPr>
      <w:r>
        <w:rPr>
          <w:rFonts w:hint="eastAsia" w:ascii="仿宋_GB2312" w:eastAsia="仿宋_GB2312"/>
          <w:b/>
          <w:sz w:val="32"/>
          <w:szCs w:val="32"/>
        </w:rPr>
        <w:t>三、</w:t>
      </w:r>
      <w:r>
        <w:rPr>
          <w:rFonts w:hint="eastAsia" w:ascii="仿宋_GB2312" w:eastAsia="仿宋_GB2312"/>
          <w:sz w:val="32"/>
          <w:szCs w:val="32"/>
        </w:rPr>
        <w:t>其他收入：指除上述“财政拨款收入”、“事业收入”、“经营收入”等以外的收入。</w:t>
      </w:r>
    </w:p>
    <w:p>
      <w:pPr>
        <w:ind w:firstLine="411" w:firstLineChars="128"/>
        <w:rPr>
          <w:rFonts w:ascii="仿宋_GB2312" w:eastAsia="仿宋_GB2312"/>
          <w:sz w:val="32"/>
          <w:szCs w:val="32"/>
        </w:rPr>
      </w:pPr>
      <w:r>
        <w:rPr>
          <w:rFonts w:hint="eastAsia" w:ascii="仿宋_GB2312" w:eastAsia="仿宋_GB2312"/>
          <w:b/>
          <w:sz w:val="32"/>
          <w:szCs w:val="32"/>
        </w:rPr>
        <w:t>四、</w:t>
      </w:r>
      <w:r>
        <w:rPr>
          <w:rFonts w:hint="eastAsia" w:ascii="仿宋_GB2312" w:eastAsia="仿宋_GB2312"/>
          <w:sz w:val="32"/>
          <w:szCs w:val="32"/>
        </w:rPr>
        <w:t>用事业基金弥补收支差额：指事业单位在当年的“财政拨款收入”、“事业收入”、“经营收入”、“其他收入”等不足以安排当年支出的情况下，使用以前年度积累的事业基金（事业单位当年收支相抵后按国家规定提取、用于弥补以后年度收支差额的基金）弥补本年度收支缺口的资金。</w:t>
      </w:r>
    </w:p>
    <w:p>
      <w:pPr>
        <w:ind w:firstLine="411" w:firstLineChars="128"/>
        <w:rPr>
          <w:rFonts w:ascii="仿宋_GB2312" w:eastAsia="仿宋_GB2312"/>
          <w:sz w:val="32"/>
          <w:szCs w:val="32"/>
        </w:rPr>
      </w:pPr>
      <w:r>
        <w:rPr>
          <w:rFonts w:hint="eastAsia" w:ascii="仿宋_GB2312" w:eastAsia="仿宋_GB2312"/>
          <w:b/>
          <w:sz w:val="32"/>
          <w:szCs w:val="32"/>
        </w:rPr>
        <w:t>五、</w:t>
      </w:r>
      <w:r>
        <w:rPr>
          <w:rFonts w:hint="eastAsia" w:ascii="仿宋_GB2312" w:eastAsia="仿宋_GB2312"/>
          <w:sz w:val="32"/>
          <w:szCs w:val="32"/>
        </w:rPr>
        <w:t>年初结转和结余：指以前年度尚未完成、结转到本年按有关规定继续使用的资金。</w:t>
      </w:r>
    </w:p>
    <w:p>
      <w:pPr>
        <w:ind w:firstLine="411" w:firstLineChars="128"/>
        <w:rPr>
          <w:rFonts w:ascii="仿宋_GB2312" w:eastAsia="仿宋_GB2312"/>
          <w:sz w:val="32"/>
          <w:szCs w:val="32"/>
        </w:rPr>
      </w:pPr>
      <w:r>
        <w:rPr>
          <w:rFonts w:hint="eastAsia" w:ascii="仿宋_GB2312" w:eastAsia="仿宋_GB2312"/>
          <w:b/>
          <w:sz w:val="32"/>
          <w:szCs w:val="32"/>
        </w:rPr>
        <w:t>六、</w:t>
      </w:r>
      <w:r>
        <w:rPr>
          <w:rFonts w:hint="eastAsia" w:ascii="仿宋_GB2312" w:eastAsia="仿宋_GB2312"/>
          <w:sz w:val="32"/>
          <w:szCs w:val="32"/>
        </w:rPr>
        <w:t>结余分配：指事业单位按规定提取的职工福利基金、事业基金和缴纳的所得税，以及建设单位按规定应交回的基本建设竣工项目结余资金。</w:t>
      </w:r>
    </w:p>
    <w:p>
      <w:pPr>
        <w:ind w:firstLine="411" w:firstLineChars="128"/>
        <w:rPr>
          <w:rFonts w:ascii="仿宋_GB2312" w:eastAsia="仿宋_GB2312"/>
          <w:sz w:val="32"/>
          <w:szCs w:val="32"/>
        </w:rPr>
      </w:pPr>
      <w:r>
        <w:rPr>
          <w:rFonts w:hint="eastAsia" w:ascii="仿宋_GB2312" w:eastAsia="仿宋_GB2312"/>
          <w:b/>
          <w:sz w:val="32"/>
          <w:szCs w:val="32"/>
        </w:rPr>
        <w:t>七</w:t>
      </w:r>
      <w:r>
        <w:rPr>
          <w:rFonts w:hint="eastAsia" w:ascii="仿宋_GB2312" w:eastAsia="仿宋_GB2312"/>
          <w:sz w:val="32"/>
          <w:szCs w:val="32"/>
        </w:rPr>
        <w:t>、年末结转和结余</w:t>
      </w:r>
      <w:r>
        <w:rPr>
          <w:rFonts w:ascii="仿宋_GB2312" w:eastAsia="仿宋_GB2312"/>
          <w:sz w:val="32"/>
          <w:szCs w:val="32"/>
        </w:rPr>
        <w:t>:</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autoSpaceDE w:val="0"/>
        <w:autoSpaceDN w:val="0"/>
        <w:adjustRightInd w:val="0"/>
        <w:ind w:firstLine="411" w:firstLineChars="128"/>
        <w:jc w:val="left"/>
        <w:rPr>
          <w:rFonts w:ascii="仿宋_GB2312" w:eastAsia="仿宋_GB2312" w:cs="宋体"/>
          <w:kern w:val="0"/>
          <w:sz w:val="32"/>
          <w:szCs w:val="32"/>
          <w:lang w:val="zh-CN"/>
        </w:rPr>
      </w:pPr>
      <w:r>
        <w:rPr>
          <w:rFonts w:hint="eastAsia" w:ascii="仿宋_GB2312" w:eastAsia="仿宋_GB2312" w:cs="宋体"/>
          <w:b/>
          <w:kern w:val="0"/>
          <w:sz w:val="32"/>
          <w:szCs w:val="32"/>
          <w:lang w:val="zh-CN"/>
        </w:rPr>
        <w:t>八</w:t>
      </w:r>
      <w:r>
        <w:rPr>
          <w:rFonts w:hint="eastAsia" w:ascii="仿宋_GB2312" w:eastAsia="仿宋_GB2312" w:cs="宋体"/>
          <w:kern w:val="0"/>
          <w:sz w:val="32"/>
          <w:szCs w:val="32"/>
          <w:lang w:val="zh-CN"/>
        </w:rPr>
        <w:t>、一般预算收入，财政收入的来源之一，有计划有组织并由国家支配的纳入预算管理的资金。</w:t>
      </w:r>
    </w:p>
    <w:p>
      <w:pPr>
        <w:autoSpaceDE w:val="0"/>
        <w:autoSpaceDN w:val="0"/>
        <w:adjustRightInd w:val="0"/>
        <w:ind w:firstLine="411" w:firstLineChars="128"/>
        <w:jc w:val="left"/>
        <w:rPr>
          <w:rFonts w:ascii="仿宋_GB2312" w:eastAsia="仿宋_GB2312" w:cs="宋体"/>
          <w:kern w:val="0"/>
          <w:sz w:val="32"/>
          <w:szCs w:val="32"/>
          <w:lang w:val="zh-CN"/>
        </w:rPr>
      </w:pPr>
      <w:r>
        <w:rPr>
          <w:rFonts w:hint="eastAsia" w:ascii="仿宋_GB2312" w:eastAsia="仿宋_GB2312" w:cs="宋体"/>
          <w:b/>
          <w:kern w:val="0"/>
          <w:sz w:val="32"/>
          <w:szCs w:val="32"/>
          <w:lang w:val="zh-CN"/>
        </w:rPr>
        <w:t>九、</w:t>
      </w:r>
      <w:r>
        <w:rPr>
          <w:rFonts w:hint="eastAsia" w:ascii="仿宋_GB2312" w:eastAsia="仿宋_GB2312" w:cs="宋体"/>
          <w:kern w:val="0"/>
          <w:sz w:val="32"/>
          <w:szCs w:val="32"/>
          <w:lang w:val="zh-CN"/>
        </w:rPr>
        <w:t>政府性基金收入是国家通过向社会征收以及出让土地、发行彩票等方式取得收入。</w:t>
      </w:r>
    </w:p>
    <w:p>
      <w:pPr>
        <w:ind w:firstLine="411" w:firstLineChars="128"/>
        <w:rPr>
          <w:rFonts w:ascii="仿宋_GB2312" w:eastAsia="仿宋_GB2312"/>
          <w:sz w:val="32"/>
          <w:szCs w:val="32"/>
        </w:rPr>
      </w:pPr>
      <w:r>
        <w:rPr>
          <w:rFonts w:hint="eastAsia" w:ascii="仿宋_GB2312" w:eastAsia="仿宋_GB2312"/>
          <w:b/>
          <w:sz w:val="32"/>
          <w:szCs w:val="32"/>
        </w:rPr>
        <w:t>十、</w:t>
      </w:r>
      <w:r>
        <w:rPr>
          <w:rFonts w:hint="eastAsia" w:ascii="仿宋_GB2312" w:eastAsia="仿宋_GB2312"/>
          <w:sz w:val="32"/>
          <w:szCs w:val="32"/>
        </w:rPr>
        <w:t>基本支出：指为保障机构正常运转、完成日常工作任务而发生的人员支出和公用支出。</w:t>
      </w:r>
    </w:p>
    <w:p>
      <w:pPr>
        <w:autoSpaceDE w:val="0"/>
        <w:autoSpaceDN w:val="0"/>
        <w:adjustRightInd w:val="0"/>
        <w:ind w:firstLine="411" w:firstLineChars="128"/>
        <w:jc w:val="left"/>
        <w:rPr>
          <w:rFonts w:ascii="仿宋_GB2312" w:eastAsia="仿宋_GB2312" w:cs="宋体"/>
          <w:kern w:val="0"/>
          <w:sz w:val="32"/>
          <w:szCs w:val="32"/>
          <w:lang w:val="zh-CN"/>
        </w:rPr>
      </w:pPr>
      <w:r>
        <w:rPr>
          <w:rFonts w:hint="eastAsia" w:ascii="仿宋_GB2312" w:eastAsia="仿宋_GB2312" w:cs="宋体"/>
          <w:b/>
          <w:kern w:val="0"/>
          <w:sz w:val="32"/>
          <w:szCs w:val="32"/>
          <w:lang w:val="zh-CN"/>
        </w:rPr>
        <w:t>十一、</w:t>
      </w:r>
      <w:r>
        <w:rPr>
          <w:rFonts w:hint="eastAsia" w:ascii="仿宋_GB2312" w:eastAsia="仿宋_GB2312" w:cs="宋体"/>
          <w:kern w:val="0"/>
          <w:sz w:val="32"/>
          <w:szCs w:val="32"/>
          <w:lang w:val="zh-CN"/>
        </w:rPr>
        <w:t>社会保障支出是指政府通过财政向由于各种原因而导致暂时或永久性丧失劳动能力、失去工作机会或生活面临困难的社会成员提供基本生活保障的支出；</w:t>
      </w:r>
    </w:p>
    <w:p>
      <w:pPr>
        <w:autoSpaceDE w:val="0"/>
        <w:autoSpaceDN w:val="0"/>
        <w:adjustRightInd w:val="0"/>
        <w:ind w:firstLine="411" w:firstLineChars="128"/>
        <w:jc w:val="left"/>
        <w:rPr>
          <w:rFonts w:ascii="仿宋_GB2312" w:eastAsia="仿宋_GB2312" w:cs="宋体"/>
          <w:kern w:val="0"/>
          <w:sz w:val="32"/>
          <w:szCs w:val="32"/>
          <w:lang w:val="zh-CN"/>
        </w:rPr>
      </w:pPr>
      <w:r>
        <w:rPr>
          <w:rFonts w:hint="eastAsia" w:ascii="仿宋_GB2312" w:eastAsia="仿宋_GB2312" w:cs="宋体"/>
          <w:b/>
          <w:kern w:val="0"/>
          <w:sz w:val="32"/>
          <w:szCs w:val="32"/>
          <w:lang w:val="zh-CN"/>
        </w:rPr>
        <w:t>十二、</w:t>
      </w:r>
      <w:r>
        <w:rPr>
          <w:rFonts w:hint="eastAsia" w:ascii="仿宋_GB2312" w:eastAsia="仿宋_GB2312" w:cs="宋体"/>
          <w:kern w:val="0"/>
          <w:sz w:val="32"/>
          <w:szCs w:val="32"/>
          <w:lang w:val="zh-CN"/>
        </w:rPr>
        <w:t>人员经费支出是指行政</w:t>
      </w:r>
      <w:r>
        <w:rPr>
          <w:rFonts w:ascii="仿宋_GB2312" w:eastAsia="仿宋_GB2312" w:cs="宋体"/>
          <w:kern w:val="0"/>
          <w:sz w:val="32"/>
          <w:szCs w:val="32"/>
          <w:lang w:val="zh-CN"/>
        </w:rPr>
        <w:t>(</w:t>
      </w:r>
      <w:r>
        <w:rPr>
          <w:rFonts w:hint="eastAsia" w:ascii="仿宋_GB2312" w:eastAsia="仿宋_GB2312" w:cs="宋体"/>
          <w:kern w:val="0"/>
          <w:sz w:val="32"/>
          <w:szCs w:val="32"/>
          <w:lang w:val="zh-CN"/>
        </w:rPr>
        <w:t>事业</w:t>
      </w:r>
      <w:r>
        <w:rPr>
          <w:rFonts w:ascii="仿宋_GB2312" w:eastAsia="仿宋_GB2312" w:cs="宋体"/>
          <w:kern w:val="0"/>
          <w:sz w:val="32"/>
          <w:szCs w:val="32"/>
          <w:lang w:val="zh-CN"/>
        </w:rPr>
        <w:t>)</w:t>
      </w:r>
      <w:r>
        <w:rPr>
          <w:rFonts w:hint="eastAsia" w:ascii="仿宋_GB2312" w:eastAsia="仿宋_GB2312" w:cs="宋体"/>
          <w:kern w:val="0"/>
          <w:sz w:val="32"/>
          <w:szCs w:val="32"/>
          <w:lang w:val="zh-CN"/>
        </w:rPr>
        <w:t>单位用于职工个人方面的费用开支。</w:t>
      </w:r>
    </w:p>
    <w:p>
      <w:pPr>
        <w:ind w:firstLine="321" w:firstLineChars="100"/>
        <w:rPr>
          <w:rFonts w:ascii="仿宋_GB2312" w:eastAsia="仿宋_GB2312"/>
          <w:sz w:val="32"/>
          <w:szCs w:val="32"/>
        </w:rPr>
      </w:pPr>
      <w:r>
        <w:rPr>
          <w:rFonts w:hint="eastAsia" w:ascii="仿宋_GB2312" w:eastAsia="仿宋_GB2312"/>
          <w:b/>
          <w:sz w:val="32"/>
          <w:szCs w:val="32"/>
        </w:rPr>
        <w:t>十三、</w:t>
      </w:r>
      <w:r>
        <w:rPr>
          <w:rFonts w:hint="eastAsia" w:ascii="仿宋_GB2312" w:eastAsia="仿宋_GB2312"/>
          <w:sz w:val="32"/>
          <w:szCs w:val="32"/>
        </w:rPr>
        <w:t>项目支出：</w:t>
      </w:r>
      <w:r>
        <w:rPr>
          <w:rFonts w:ascii="仿宋_GB2312" w:eastAsia="仿宋_GB2312"/>
          <w:sz w:val="32"/>
          <w:szCs w:val="32"/>
        </w:rPr>
        <w:t xml:space="preserve"> </w:t>
      </w:r>
      <w:r>
        <w:rPr>
          <w:rFonts w:hint="eastAsia" w:ascii="仿宋_GB2312" w:eastAsia="仿宋_GB2312"/>
          <w:sz w:val="32"/>
          <w:szCs w:val="32"/>
        </w:rPr>
        <w:t>指在基本支出之外为完成特定行政任务和事业发展目标所发生的支出。</w:t>
      </w:r>
    </w:p>
    <w:p>
      <w:pPr>
        <w:ind w:firstLine="411" w:firstLineChars="128"/>
        <w:rPr>
          <w:rFonts w:ascii="仿宋_GB2312" w:eastAsia="仿宋_GB2312"/>
          <w:sz w:val="32"/>
          <w:szCs w:val="32"/>
        </w:rPr>
      </w:pPr>
      <w:r>
        <w:rPr>
          <w:rFonts w:hint="eastAsia" w:ascii="仿宋_GB2312" w:eastAsia="仿宋_GB2312"/>
          <w:b/>
          <w:sz w:val="32"/>
          <w:szCs w:val="32"/>
        </w:rPr>
        <w:t>十四、</w:t>
      </w:r>
      <w:r>
        <w:rPr>
          <w:rFonts w:hint="eastAsia" w:ascii="仿宋_GB2312" w:eastAsia="仿宋_GB2312"/>
          <w:sz w:val="32"/>
          <w:szCs w:val="32"/>
        </w:rPr>
        <w:t>“三公”经费：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w:t>
      </w:r>
      <w:r>
        <w:rPr>
          <w:rFonts w:ascii="仿宋_GB2312" w:eastAsia="仿宋_GB2312"/>
          <w:sz w:val="32"/>
          <w:szCs w:val="32"/>
        </w:rPr>
        <w:t xml:space="preserve"> </w:t>
      </w:r>
      <w:r>
        <w:rPr>
          <w:rFonts w:hint="eastAsia" w:ascii="仿宋_GB2312" w:eastAsia="仿宋_GB2312"/>
          <w:sz w:val="32"/>
          <w:szCs w:val="32"/>
        </w:rPr>
        <w:t>（含车辆购置税）</w:t>
      </w:r>
      <w:r>
        <w:rPr>
          <w:rFonts w:ascii="仿宋_GB2312" w:eastAsia="仿宋_GB2312"/>
          <w:sz w:val="32"/>
          <w:szCs w:val="32"/>
        </w:rPr>
        <w:t xml:space="preserve"> </w:t>
      </w:r>
      <w:r>
        <w:rPr>
          <w:rFonts w:hint="eastAsia" w:ascii="仿宋_GB2312" w:eastAsia="仿宋_GB2312"/>
          <w:sz w:val="32"/>
          <w:szCs w:val="32"/>
        </w:rPr>
        <w:t>及租用费、燃料费、维修费、过路过桥费、保险费、安全奖励费用等支出；公务接待费反映单位按规定开支的各类公务接待（含外宾接待）支出。</w:t>
      </w:r>
    </w:p>
    <w:p>
      <w:pPr>
        <w:ind w:firstLine="640" w:firstLineChars="200"/>
        <w:jc w:val="left"/>
        <w:rPr>
          <w:rFonts w:hint="eastAsia" w:ascii="仿宋_GB2312" w:hAnsi="仿宋_GB2312" w:eastAsia="仿宋_GB2312" w:cs="仿宋_GB2312"/>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tentative="0">
      <w:start w:val="1"/>
      <w:numFmt w:val="chineseCounting"/>
      <w:suff w:val="nothing"/>
      <w:lvlText w:val="%1、"/>
      <w:lvlJc w:val="left"/>
    </w:lvl>
  </w:abstractNum>
  <w:abstractNum w:abstractNumId="1">
    <w:nsid w:val="5A5F2384"/>
    <w:multiLevelType w:val="singleLevel"/>
    <w:tmpl w:val="5A5F2384"/>
    <w:lvl w:ilvl="0" w:tentative="0">
      <w:start w:val="1"/>
      <w:numFmt w:val="chineseCounting"/>
      <w:suff w:val="nothing"/>
      <w:lvlText w:val="%1、"/>
      <w:lvlJc w:val="left"/>
    </w:lvl>
  </w:abstractNum>
  <w:abstractNum w:abstractNumId="2">
    <w:nsid w:val="5A5F2A51"/>
    <w:multiLevelType w:val="singleLevel"/>
    <w:tmpl w:val="5A5F2A51"/>
    <w:lvl w:ilvl="0" w:tentative="0">
      <w:start w:val="1"/>
      <w:numFmt w:val="chineseCounting"/>
      <w:suff w:val="nothing"/>
      <w:lvlText w:val="%1、"/>
      <w:lvlJc w:val="left"/>
    </w:lvl>
  </w:abstractNum>
  <w:abstractNum w:abstractNumId="3">
    <w:nsid w:val="5A600927"/>
    <w:multiLevelType w:val="singleLevel"/>
    <w:tmpl w:val="5A600927"/>
    <w:lvl w:ilvl="0" w:tentative="0">
      <w:start w:val="1"/>
      <w:numFmt w:val="chineseCounting"/>
      <w:suff w:val="nothing"/>
      <w:lvlText w:val="%1、"/>
      <w:lvlJc w:val="left"/>
    </w:lvl>
  </w:abstractNum>
  <w:abstractNum w:abstractNumId="4">
    <w:nsid w:val="5ABC460D"/>
    <w:multiLevelType w:val="singleLevel"/>
    <w:tmpl w:val="5ABC460D"/>
    <w:lvl w:ilvl="0" w:tentative="0">
      <w:start w:val="3"/>
      <w:numFmt w:val="chineseCounting"/>
      <w:suff w:val="nothing"/>
      <w:lvlText w:val="第%1部"/>
      <w:lvlJc w:val="left"/>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554297"/>
    <w:rsid w:val="13016A31"/>
    <w:rsid w:val="20EE6A13"/>
    <w:rsid w:val="2825630B"/>
    <w:rsid w:val="2F493CBE"/>
    <w:rsid w:val="36E602DD"/>
    <w:rsid w:val="3DF6664B"/>
    <w:rsid w:val="42D5751C"/>
    <w:rsid w:val="50564808"/>
    <w:rsid w:val="50CB6A87"/>
    <w:rsid w:val="60E37A9B"/>
    <w:rsid w:val="66D06120"/>
    <w:rsid w:val="6D9B07DA"/>
    <w:rsid w:val="77051FEE"/>
    <w:rsid w:val="7A3D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爱幻想</cp:lastModifiedBy>
  <cp:lastPrinted>2018-02-09T07:39:00Z</cp:lastPrinted>
  <dcterms:modified xsi:type="dcterms:W3CDTF">2018-04-02T01:44:06Z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