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罗定市安全生产监督管理局部门预算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罗定市安全生产监督管理局概况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ind w:firstLine="640" w:firstLineChars="200"/>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罗定市安全生产监督管理局概况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贯彻执行国家、省和云浮市有关安全生产工作的法律法规方针和政策，拟订安全生产政策和规划，指导协调全市安全生产工作，分析和预测全市安全生产形势，发布全市安全生产信息，协调解决安全生产工作中的重大问题。</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承担市人民政府安全生产综合监督管理的职责。依法行使综合监督管理职权，指导协调、监督检查市人民政府有关部门和各镇人民政府（街道办事处）安全生产工作，监督并通报安全生产控制指标执行情况，负责组织全市性安全生产大检查和专项督查，依法组织生产安全事故调查处理和办理结案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负责监督管理职责范围内的工矿商贸企业安全生产工作。按照分级、属地原则，依法监督检查工矿商贸生产经营单位贯彻执行安全生产法律法规情况及其安全生产条件和有关设备（特种设备除外）、材料的安全生产管理工作，承担劳动防护用品和安全标志的安全监督检查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承担非煤矿矿山企业和危险化学品生产经营单位安全生产准入管理的职责。依法组织并指导监督安全生产准入制度的实施，负责危险化学品安全生产监督管理综合工作和烟花爆竹经营安全生产监督管理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（五）承担工矿商贸作业场所职业卫生监督检查的职责。负责职业卫生安全许可证的颁发管理工作，组织查处职业危害事故和违法违规行为。</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（六）组织拟订本市工矿商贸行业安全生产标准和规程并组织实施，监督检查事故隐患排查治理工作，在职责范围内依法查处安全生产违法行为。</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（七）负责组织指挥和协调安全生产应急救援工作，综合管理全市生产安全伤亡事故和安全生产行政执法统计分析工作。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（八）负责监督检查职责范围内新建、改建、扩建工程项目的安全设施与主体工程同时设计、同时施工、同时投产使用情况。</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组织指导并监督特种作业人员（特种设备作业人员除外）的考核工作和工矿商贸生产经营单位主要负责人、安全生产管理人员的安全资格考核工作，监督检查工矿商贸生产经营单位安全生产培训工作，开展安全生产宣传教育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（十）指导协调全市安全生产检测检验工作，监督管理安全生产社会中介机构。</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（十一）组织指导协调全市安全生产行政执法工作。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（十二）组织拟订安全生产科技规划，指导协调安全生产重大科学技术研究和推广工作。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（十三）组织开展安全生产方面的交流与合作。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（十四）承担市安全生产委员会的日常工作。</w:t>
      </w:r>
    </w:p>
    <w:p>
      <w:pPr>
        <w:pStyle w:val="4"/>
        <w:widowControl w:val="0"/>
        <w:spacing w:before="0" w:beforeAutospacing="0" w:after="0" w:afterAutospacing="0"/>
        <w:ind w:right="-210" w:rightChars="-100" w:firstLine="640" w:firstLineChars="200"/>
        <w:rPr>
          <w:rFonts w:hint="eastAsia" w:ascii="仿宋_GB2312" w:eastAsia="仿宋_GB2312"/>
          <w:sz w:val="32"/>
          <w:szCs w:val="32"/>
        </w:rPr>
      </w:pPr>
      <w:r>
        <w:rPr>
          <w:rFonts w:hint="eastAsia" w:ascii="仿宋_GB2312" w:eastAsia="仿宋_GB2312"/>
          <w:color w:val="000000"/>
          <w:sz w:val="32"/>
          <w:szCs w:val="32"/>
        </w:rPr>
        <w:t>（十五）</w:t>
      </w:r>
      <w:r>
        <w:rPr>
          <w:rFonts w:hint="eastAsia" w:ascii="仿宋_GB2312" w:eastAsia="仿宋_GB2312"/>
          <w:sz w:val="32"/>
          <w:szCs w:val="32"/>
        </w:rPr>
        <w:t>承办国家、省、云浮市安全生产监督管理局和市人民政府交办的其他事项。</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根据上述职责，市安全生产监督管理局内设4 个股（室）</w:t>
      </w:r>
      <w:r>
        <w:rPr>
          <w:rFonts w:hint="eastAsia" w:ascii="仿宋_GB2312" w:eastAsia="仿宋_GB2312"/>
          <w:color w:val="000000"/>
          <w:sz w:val="32"/>
          <w:szCs w:val="32"/>
          <w:lang w:val="en-US" w:eastAsia="zh-CN"/>
        </w:rPr>
        <w:t>,没有下属机构</w:t>
      </w:r>
      <w:r>
        <w:rPr>
          <w:rFonts w:hint="eastAsia" w:ascii="仿宋_GB2312" w:eastAsia="仿宋_GB2312"/>
          <w:color w:val="000000"/>
          <w:sz w:val="32"/>
          <w:szCs w:val="32"/>
        </w:rPr>
        <w:t>：</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（一）办公室。</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负责文秘、调研、档案、财务、党务、人事政工、计生、纪检监察、信访和工、青、妇等工作；负责组织指导安全生产新闻和宣传教育工作；负责协调全市安全生产事故处理和应急救援工作；负责组织开展安全生产工作交流和合作；承担全市安全生产的统计工作，定期汇总、综合分析和通报安全生产情况、发布安全生产信息；负责安全生产方面的行政复议、行政应诉和执法监督工作；负责市安全生产委员会办公室日常工作</w:t>
      </w:r>
      <w:r>
        <w:rPr>
          <w:rFonts w:hint="eastAsia" w:ascii="仿宋_GB2312" w:hAnsi="宋体" w:eastAsia="仿宋_GB2312"/>
          <w:color w:val="000000"/>
          <w:sz w:val="32"/>
          <w:szCs w:val="32"/>
        </w:rPr>
        <w:t>。</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（二）安全监督管理股。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法监督检查非煤矿山、危险化学品和烟花爆竹生产经营单位贯彻执行安全生产法律法规情况及其安全生产条件、设备设施安全情况；组织相关建设项目的设计审查和竣工验收；承担相关企业安全生产准入管理工作；指导监督相关安全标准化和不具备安全生产条件的企业关闭工作；参与相关企业安全生产事故调查处理和应急救援工作；组织开展相关行业和领域的安全生产培训工作；</w:t>
      </w:r>
      <w:r>
        <w:rPr>
          <w:rFonts w:hint="eastAsia" w:ascii="仿宋_GB2312" w:hAnsi="宋体" w:eastAsia="仿宋_GB2312"/>
          <w:color w:val="000000"/>
          <w:sz w:val="32"/>
          <w:szCs w:val="32"/>
        </w:rPr>
        <w:t>指导、协调和监督有专门安全生产主管部门的行业和领域安全监督管理工作；指导、协调相关部门安全生产专项督查和专项整治工作；依法监督检查石油（炼化、成品油管道除外）、冶金、建材、机械、轻工、纺织、烟草、商贸等行业生产经营单位贯彻执行安全生产法律法规情况及其安全生产条件、设备设施安全情况；组织相关建设项目安全设施的设计审查和竣工验收；参与相关行业和领域安全生产安全事故调查处理和应急救援工作；组织开展相关行业和领域的安全生产培训及注册工作。</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（三）职业安全健康监督管理股。</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依法监督检查工矿商贸作业场所职业卫生情况；按照职责分工，拟订作业场所职业卫生有关执法规范和标准；组织查处职业危害事故和违法违规行为；承担职业卫生安全许可证的颁发管理工作；组织指导并监督检查有关职业安全培训工作；组织指导职业危害申报工作；承担劳动防护用品和安全标志的监督检查工作；参与职业危害事故应急救援工作；承办上级交办的其他事项。</w:t>
      </w:r>
    </w:p>
    <w:p>
      <w:pPr>
        <w:pStyle w:val="4"/>
        <w:widowControl w:val="0"/>
        <w:spacing w:before="0" w:beforeAutospacing="0" w:after="0" w:afterAutospacing="0"/>
        <w:ind w:right="-210" w:rightChars="-100" w:firstLine="643" w:firstLineChars="200"/>
        <w:rPr>
          <w:rFonts w:hint="eastAsia" w:ascii="仿宋_GB2312" w:eastAsia="仿宋_GB2312"/>
          <w:b/>
          <w:sz w:val="32"/>
          <w:szCs w:val="32"/>
        </w:rPr>
      </w:pPr>
      <w:r>
        <w:rPr>
          <w:rFonts w:hint="eastAsia" w:ascii="仿宋_GB2312" w:eastAsia="仿宋_GB2312"/>
          <w:b/>
          <w:color w:val="000000"/>
          <w:sz w:val="32"/>
          <w:szCs w:val="32"/>
        </w:rPr>
        <w:t>（四）</w:t>
      </w:r>
      <w:r>
        <w:rPr>
          <w:rFonts w:hint="eastAsia" w:ascii="仿宋_GB2312" w:eastAsia="仿宋_GB2312"/>
          <w:b/>
          <w:sz w:val="32"/>
          <w:szCs w:val="32"/>
        </w:rPr>
        <w:t>执法监察股。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指导、协调全市安全生产监管部门执法监察工作；依法查处安全生产违法行为；受理有关安全生产违法行为的举报投诉，依法查处举报投诉、有关部门移送、上级交办的安全生产违法案件；参与安全生产事故的调查处理。</w:t>
      </w:r>
    </w:p>
    <w:p>
      <w:pPr>
        <w:pStyle w:val="4"/>
        <w:widowControl w:val="0"/>
        <w:spacing w:before="0" w:beforeAutospacing="0" w:after="0" w:afterAutospacing="0"/>
        <w:ind w:right="-210" w:rightChars="-100" w:firstLine="640" w:firstLineChars="200"/>
        <w:rPr>
          <w:rStyle w:val="6"/>
          <w:rFonts w:hint="eastAsia" w:ascii="黑体" w:eastAsia="黑体"/>
          <w:b w:val="0"/>
          <w:color w:val="000000"/>
          <w:sz w:val="32"/>
          <w:szCs w:val="32"/>
        </w:rPr>
      </w:pPr>
      <w:r>
        <w:rPr>
          <w:rStyle w:val="6"/>
          <w:rFonts w:hint="eastAsia" w:ascii="黑体" w:eastAsia="黑体"/>
          <w:b w:val="0"/>
          <w:color w:val="000000"/>
          <w:sz w:val="32"/>
          <w:szCs w:val="32"/>
          <w:lang w:eastAsia="zh-CN"/>
        </w:rPr>
        <w:t>三</w:t>
      </w:r>
      <w:r>
        <w:rPr>
          <w:rStyle w:val="6"/>
          <w:rFonts w:hint="eastAsia" w:ascii="黑体" w:eastAsia="黑体"/>
          <w:b w:val="0"/>
          <w:color w:val="000000"/>
          <w:sz w:val="32"/>
          <w:szCs w:val="32"/>
        </w:rPr>
        <w:t>、</w:t>
      </w:r>
      <w:r>
        <w:rPr>
          <w:rFonts w:hint="eastAsia" w:ascii="黑体" w:hAnsi="黑体" w:eastAsia="黑体"/>
          <w:sz w:val="32"/>
          <w:szCs w:val="32"/>
        </w:rPr>
        <w:t>部门预算单位构成</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市安全生产监督管理局机关行政编制10名，执法专项编制7名。其中：局长1名、副局长3名（其中1名副局长兼任市安全生产监督管理局执法监察大队队长）</w:t>
      </w:r>
      <w:bookmarkStart w:id="0" w:name="_GoBack"/>
      <w:bookmarkEnd w:id="0"/>
      <w:r>
        <w:rPr>
          <w:rFonts w:hint="eastAsia" w:ascii="仿宋_GB2312" w:eastAsia="仿宋_GB2312"/>
          <w:color w:val="000000"/>
          <w:sz w:val="32"/>
          <w:szCs w:val="32"/>
        </w:rPr>
        <w:t>；股长（主任）4名，副股长（副主任）3名。</w:t>
      </w:r>
    </w:p>
    <w:p>
      <w:pPr>
        <w:pStyle w:val="4"/>
        <w:widowControl w:val="0"/>
        <w:spacing w:before="0" w:beforeAutospacing="0" w:after="0" w:afterAutospacing="0"/>
        <w:ind w:right="-210" w:rightChars="-100" w:firstLine="640" w:firstLineChars="200"/>
        <w:rPr>
          <w:rStyle w:val="6"/>
          <w:rFonts w:hint="eastAsia" w:ascii="仿宋_GB2312" w:eastAsia="仿宋_GB2312"/>
          <w:b w:val="0"/>
          <w:bCs w:val="0"/>
          <w:color w:val="000000"/>
          <w:sz w:val="32"/>
          <w:szCs w:val="32"/>
        </w:rPr>
      </w:pPr>
      <w:r>
        <w:rPr>
          <w:rFonts w:hint="eastAsia" w:ascii="仿宋_GB2312" w:eastAsia="仿宋_GB2312"/>
          <w:color w:val="000000"/>
          <w:sz w:val="32"/>
          <w:szCs w:val="32"/>
        </w:rPr>
        <w:t>后勤服务人员数</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名。</w:t>
      </w:r>
    </w:p>
    <w:p>
      <w:pPr>
        <w:pStyle w:val="4"/>
        <w:widowControl w:val="0"/>
        <w:spacing w:before="0" w:beforeAutospacing="0" w:after="0" w:afterAutospacing="0"/>
        <w:ind w:right="-210" w:rightChars="-100" w:firstLine="640" w:firstLineChars="200"/>
        <w:rPr>
          <w:rStyle w:val="6"/>
          <w:rFonts w:hint="eastAsia" w:ascii="黑体" w:eastAsia="黑体"/>
          <w:b w:val="0"/>
          <w:color w:val="000000"/>
          <w:sz w:val="32"/>
          <w:szCs w:val="32"/>
        </w:rPr>
      </w:pPr>
      <w:r>
        <w:rPr>
          <w:rStyle w:val="6"/>
          <w:rFonts w:hint="eastAsia" w:ascii="黑体" w:eastAsia="黑体"/>
          <w:b w:val="0"/>
          <w:color w:val="000000"/>
          <w:sz w:val="32"/>
          <w:szCs w:val="32"/>
          <w:lang w:eastAsia="zh-CN"/>
        </w:rPr>
        <w:t>四</w:t>
      </w:r>
      <w:r>
        <w:rPr>
          <w:rStyle w:val="6"/>
          <w:rFonts w:hint="eastAsia" w:ascii="黑体" w:eastAsia="黑体"/>
          <w:b w:val="0"/>
          <w:color w:val="000000"/>
          <w:sz w:val="32"/>
          <w:szCs w:val="32"/>
        </w:rPr>
        <w:t>、其他事项</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烟花爆竹安全监督管理职责分工。市安全生产监督管理局负责烟花爆竹经营单位安全监督管理工作，组织查处不具备安全生产基本条件的烟花爆竹经营单位，依法查处烟花爆竹生产安全事故；市公安局负责烟花爆竹运输通行证发放和烟花爆竹运输路线确定工作，管理烟花爆竹禁燃、禁放工作，侦查非法生产、买卖、储存、运输、邮寄烟花爆竹的刑事案件。打击非法生产烟花爆竹活动，由市安全生产监督管理局牵头，市公安局积极配合，确保安全生产监督管理部门行政执法工作顺利进行。</w:t>
      </w:r>
    </w:p>
    <w:p>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职业卫生监督管理职责分工。市安全生产监督管理局负责作业场所职业卫生监督检查工作，负责职业卫生安全许可证的颁发管理工作，组织查处职业危害事故和有关违法违规行为。市卫生局负责拟订职业卫生标准，规范职业病预防、保健、检查和救治工作，负责职业卫生技术服务机构资质认定和职业卫生评价及化学品毒性鉴定工作。市安全生产监督管理局、市卫生局要按照职责分工，建立完善协调机制，加强配合，共同做好相关工作。</w:t>
      </w:r>
    </w:p>
    <w:p>
      <w:pPr>
        <w:ind w:firstLine="640" w:firstLineChars="200"/>
        <w:rPr>
          <w:rStyle w:val="6"/>
          <w:rFonts w:hint="eastAsia" w:ascii="黑体" w:hAnsi="宋体" w:eastAsia="黑体"/>
          <w:b w:val="0"/>
          <w:sz w:val="32"/>
          <w:szCs w:val="32"/>
        </w:rPr>
      </w:pPr>
      <w:r>
        <w:rPr>
          <w:rStyle w:val="6"/>
          <w:rFonts w:hint="eastAsia" w:ascii="黑体" w:hAnsi="宋体" w:eastAsia="黑体"/>
          <w:b w:val="0"/>
          <w:sz w:val="32"/>
          <w:szCs w:val="32"/>
          <w:lang w:eastAsia="zh-CN"/>
        </w:rPr>
        <w:t>五</w:t>
      </w:r>
      <w:r>
        <w:rPr>
          <w:rStyle w:val="6"/>
          <w:rFonts w:hint="eastAsia" w:ascii="黑体" w:hAnsi="宋体" w:eastAsia="黑体"/>
          <w:b w:val="0"/>
          <w:sz w:val="32"/>
          <w:szCs w:val="32"/>
        </w:rPr>
        <w:t>、附则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本规定由市机构编制委员会负责解释，其调整由市机构编制委员会办公室按规定程序办理。</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tbl>
      <w:tblPr>
        <w:tblStyle w:val="8"/>
        <w:tblW w:w="8955"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20"/>
        <w:gridCol w:w="1755"/>
        <w:gridCol w:w="243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shd w:val="clear" w:color="auto" w:fill="FFFFFF"/>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55" w:type="dxa"/>
            <w:gridSpan w:val="4"/>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单位名称：罗定市</w:t>
            </w:r>
            <w:r>
              <w:rPr>
                <w:rFonts w:hint="eastAsia" w:ascii="宋体" w:hAnsi="宋体" w:cs="宋体"/>
                <w:i w:val="0"/>
                <w:color w:val="000000"/>
                <w:kern w:val="0"/>
                <w:sz w:val="20"/>
                <w:szCs w:val="20"/>
                <w:u w:val="none"/>
                <w:lang w:val="en-US" w:eastAsia="zh-CN" w:bidi="ar-SA"/>
              </w:rPr>
              <w:t>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380"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447.00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32"/>
        <w:gridCol w:w="420"/>
        <w:gridCol w:w="358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表2</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837" w:type="dxa"/>
            <w:gridSpan w:val="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部门预算收入总体情况表</w:t>
            </w:r>
          </w:p>
        </w:tc>
        <w:tc>
          <w:tcPr>
            <w:tcW w:w="735" w:type="dxa"/>
            <w:vAlign w:val="center"/>
          </w:tcPr>
          <w:p>
            <w:pPr>
              <w:rPr>
                <w:rFonts w:hint="eastAsia" w:ascii="宋体" w:hAnsi="宋体" w:eastAsia="宋体" w:cs="宋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52"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3585"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一般公共预算拨款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基金预算拨款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教育收费</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其他财政收入拨款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事业单位经营收入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447.00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c>
          <w:tcPr>
            <w:tcW w:w="735" w:type="dxa"/>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35"/>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9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3969"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工资福利支出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286.00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一般商品和服务支出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108.00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对个人和家庭的补助</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53.00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其他资本性支出等</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中央提前下达专项支出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省级提前下达专项支出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left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市级预算安排项目支出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447.00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24"/>
        <w:gridCol w:w="208"/>
        <w:gridCol w:w="1993"/>
        <w:gridCol w:w="2088"/>
        <w:gridCol w:w="329"/>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2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447.00</w:t>
            </w:r>
            <w:r>
              <w:rPr>
                <w:rFonts w:hint="default" w:ascii="仿宋" w:hAnsi="仿宋" w:eastAsia="仿宋" w:cs="仿宋"/>
                <w:i w:val="0"/>
                <w:color w:val="000000"/>
                <w:kern w:val="0"/>
                <w:sz w:val="24"/>
                <w:szCs w:val="24"/>
                <w:u w:val="none"/>
                <w:lang w:val="en-US" w:eastAsia="zh-CN" w:bidi="ar-SA"/>
              </w:rPr>
              <w:t xml:space="preserve">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仿宋" w:hAnsi="仿宋" w:eastAsia="仿宋" w:cs="仿宋"/>
                <w:i w:val="0"/>
                <w:color w:val="000000"/>
                <w:sz w:val="24"/>
                <w:szCs w:val="24"/>
                <w:u w:val="none"/>
              </w:rPr>
            </w:pP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本年收入合计</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447.00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本年支出合计</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447.00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2124" w:type="dxa"/>
            <w:vAlign w:val="bottom"/>
          </w:tcPr>
          <w:p>
            <w:pPr>
              <w:rPr>
                <w:rFonts w:hint="eastAsia" w:ascii="宋体" w:hAnsi="宋体" w:eastAsia="宋体" w:cs="宋体"/>
                <w:i w:val="0"/>
                <w:color w:val="000000"/>
                <w:sz w:val="20"/>
                <w:szCs w:val="20"/>
                <w:u w:val="none"/>
              </w:rPr>
            </w:pPr>
          </w:p>
        </w:tc>
        <w:tc>
          <w:tcPr>
            <w:tcW w:w="2201" w:type="dxa"/>
            <w:gridSpan w:val="2"/>
            <w:vAlign w:val="bottom"/>
          </w:tcPr>
          <w:p>
            <w:pPr>
              <w:rPr>
                <w:rFonts w:hint="eastAsia" w:ascii="宋体" w:hAnsi="宋体" w:eastAsia="宋体" w:cs="宋体"/>
                <w:i w:val="0"/>
                <w:color w:val="000000"/>
                <w:sz w:val="20"/>
                <w:szCs w:val="20"/>
                <w:u w:val="none"/>
              </w:rPr>
            </w:pP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9015"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15"/>
        <w:gridCol w:w="1074"/>
        <w:gridCol w:w="486"/>
        <w:gridCol w:w="180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015"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015" w:type="dxa"/>
            <w:gridSpan w:val="5"/>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1074"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4026" w:type="dxa"/>
            <w:gridSpan w:val="3"/>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功能科目名称</w:t>
            </w:r>
          </w:p>
        </w:tc>
        <w:tc>
          <w:tcPr>
            <w:tcW w:w="51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447.00</w:t>
            </w:r>
            <w:r>
              <w:rPr>
                <w:rFonts w:hint="default" w:ascii="仿宋" w:hAnsi="仿宋" w:eastAsia="仿宋" w:cs="仿宋"/>
                <w:b/>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447.00</w:t>
            </w:r>
            <w:r>
              <w:rPr>
                <w:rFonts w:hint="default" w:ascii="仿宋" w:hAnsi="仿宋" w:eastAsia="仿宋" w:cs="仿宋"/>
                <w:b/>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[201]一般公共服务支出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286.00</w:t>
            </w:r>
            <w:r>
              <w:rPr>
                <w:rFonts w:hint="default" w:ascii="仿宋" w:hAnsi="仿宋" w:eastAsia="仿宋" w:cs="仿宋"/>
                <w:b/>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286.00</w:t>
            </w:r>
            <w:r>
              <w:rPr>
                <w:rFonts w:hint="default" w:ascii="仿宋" w:hAnsi="仿宋" w:eastAsia="仿宋" w:cs="仿宋"/>
                <w:b/>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[20115]行政管理事务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286.00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286.00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[2011501]行政运行</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286.00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286.00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[208]社会保障和就业支出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108.00</w:t>
            </w:r>
            <w:r>
              <w:rPr>
                <w:rFonts w:hint="default" w:ascii="仿宋" w:hAnsi="仿宋" w:eastAsia="仿宋" w:cs="仿宋"/>
                <w:b/>
                <w:bCs/>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108.00</w:t>
            </w:r>
            <w:r>
              <w:rPr>
                <w:rFonts w:hint="default" w:ascii="仿宋" w:hAnsi="仿宋" w:eastAsia="仿宋" w:cs="仿宋"/>
                <w:b/>
                <w:bCs/>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[20805]行政事业单位离退休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53.00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53.00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[2080501]归口管理的行政单位离退休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53.00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53.00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w:t>
            </w:r>
            <w:r>
              <w:rPr>
                <w:rFonts w:hint="eastAsia" w:ascii="仿宋" w:hAnsi="仿宋" w:eastAsia="仿宋" w:cs="仿宋"/>
                <w:i w:val="0"/>
                <w:color w:val="000000"/>
                <w:kern w:val="0"/>
                <w:sz w:val="24"/>
                <w:szCs w:val="24"/>
                <w:u w:val="none"/>
                <w:lang w:val="en-US" w:eastAsia="zh-CN" w:bidi="ar-SA"/>
              </w:rPr>
              <w:t>0</w:t>
            </w:r>
            <w:r>
              <w:rPr>
                <w:rFonts w:hint="default" w:ascii="仿宋" w:hAnsi="仿宋" w:eastAsia="仿宋" w:cs="仿宋"/>
                <w:i w:val="0"/>
                <w:color w:val="000000"/>
                <w:kern w:val="0"/>
                <w:sz w:val="24"/>
                <w:szCs w:val="24"/>
                <w:u w:val="none"/>
                <w:lang w:val="en-US" w:eastAsia="zh-CN" w:bidi="ar-SA"/>
              </w:rPr>
              <w:t xml:space="preserve">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w:t>
            </w:r>
            <w:r>
              <w:rPr>
                <w:rFonts w:hint="eastAsia" w:ascii="仿宋" w:hAnsi="仿宋" w:eastAsia="仿宋" w:cs="仿宋"/>
                <w:i w:val="0"/>
                <w:color w:val="000000"/>
                <w:kern w:val="0"/>
                <w:sz w:val="24"/>
                <w:szCs w:val="24"/>
                <w:u w:val="none"/>
                <w:lang w:val="en-US" w:eastAsia="zh-CN" w:bidi="ar-SA"/>
              </w:rPr>
              <w:t>0</w:t>
            </w:r>
            <w:r>
              <w:rPr>
                <w:rFonts w:hint="default" w:ascii="仿宋" w:hAnsi="仿宋" w:eastAsia="仿宋" w:cs="仿宋"/>
                <w:i w:val="0"/>
                <w:color w:val="000000"/>
                <w:kern w:val="0"/>
                <w:sz w:val="24"/>
                <w:szCs w:val="24"/>
                <w:u w:val="none"/>
                <w:lang w:val="en-US" w:eastAsia="zh-CN" w:bidi="ar-SA"/>
              </w:rPr>
              <w:t xml:space="preserve">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[2080801]死亡抚恤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w:t>
            </w:r>
            <w:r>
              <w:rPr>
                <w:rFonts w:hint="eastAsia" w:ascii="仿宋" w:hAnsi="仿宋" w:eastAsia="仿宋" w:cs="仿宋"/>
                <w:i w:val="0"/>
                <w:color w:val="000000"/>
                <w:kern w:val="0"/>
                <w:sz w:val="24"/>
                <w:szCs w:val="24"/>
                <w:u w:val="none"/>
                <w:lang w:val="en-US" w:eastAsia="zh-CN" w:bidi="ar-SA"/>
              </w:rPr>
              <w:t>0</w:t>
            </w:r>
            <w:r>
              <w:rPr>
                <w:rFonts w:hint="default" w:ascii="仿宋" w:hAnsi="仿宋" w:eastAsia="仿宋" w:cs="仿宋"/>
                <w:i w:val="0"/>
                <w:color w:val="000000"/>
                <w:kern w:val="0"/>
                <w:sz w:val="24"/>
                <w:szCs w:val="24"/>
                <w:u w:val="none"/>
                <w:lang w:val="en-US" w:eastAsia="zh-CN" w:bidi="ar-SA"/>
              </w:rPr>
              <w:t xml:space="preserve">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3.</w:t>
            </w:r>
            <w:r>
              <w:rPr>
                <w:rFonts w:hint="eastAsia" w:ascii="仿宋" w:hAnsi="仿宋" w:eastAsia="仿宋" w:cs="仿宋"/>
                <w:i w:val="0"/>
                <w:color w:val="000000"/>
                <w:kern w:val="0"/>
                <w:sz w:val="24"/>
                <w:szCs w:val="24"/>
                <w:u w:val="none"/>
                <w:lang w:val="en-US" w:eastAsia="zh-CN" w:bidi="ar-SA"/>
              </w:rPr>
              <w:t>0</w:t>
            </w:r>
            <w:r>
              <w:rPr>
                <w:rFonts w:hint="default" w:ascii="仿宋" w:hAnsi="仿宋" w:eastAsia="仿宋" w:cs="仿宋"/>
                <w:i w:val="0"/>
                <w:color w:val="000000"/>
                <w:kern w:val="0"/>
                <w:sz w:val="24"/>
                <w:szCs w:val="24"/>
                <w:u w:val="none"/>
                <w:lang w:val="en-US" w:eastAsia="zh-CN" w:bidi="ar-SA"/>
              </w:rPr>
              <w:t xml:space="preserve">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[210]医疗卫生与计划生育支出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5.00</w:t>
            </w:r>
            <w:r>
              <w:rPr>
                <w:rFonts w:hint="default" w:ascii="仿宋" w:hAnsi="仿宋" w:eastAsia="仿宋" w:cs="仿宋"/>
                <w:b/>
                <w:bCs/>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5.00</w:t>
            </w:r>
            <w:r>
              <w:rPr>
                <w:rFonts w:hint="default" w:ascii="仿宋" w:hAnsi="仿宋" w:eastAsia="仿宋" w:cs="仿宋"/>
                <w:b/>
                <w:bCs/>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[21011]行政事业单位医疗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[2101101]行政单位医疗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tbl>
      <w:tblPr>
        <w:tblStyle w:val="8"/>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2"/>
        <w:gridCol w:w="4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wordWrap/>
              <w:adjustRightInd/>
              <w:snapToGrid/>
              <w:spacing w:line="240" w:lineRule="exact"/>
              <w:ind w:left="0" w:leftChars="0" w:right="0" w:firstLine="0" w:firstLineChars="0"/>
              <w:jc w:val="right"/>
              <w:textAlignment w:val="center"/>
              <w:outlineLvl w:val="9"/>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trPr>
        <w:tc>
          <w:tcPr>
            <w:tcW w:w="8804" w:type="dxa"/>
            <w:gridSpan w:val="2"/>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SA"/>
              </w:rPr>
              <w:t>一般公共预算基本支出情况表（按</w:t>
            </w:r>
            <w:r>
              <w:rPr>
                <w:rFonts w:hint="eastAsia" w:ascii="宋体" w:hAnsi="宋体" w:cs="宋体"/>
                <w:b/>
                <w:i w:val="0"/>
                <w:color w:val="000000"/>
                <w:kern w:val="0"/>
                <w:sz w:val="32"/>
                <w:szCs w:val="32"/>
                <w:u w:val="none"/>
                <w:lang w:val="en-US" w:eastAsia="zh-CN" w:bidi="ar-SA"/>
              </w:rPr>
              <w:t>支出经济分类</w:t>
            </w:r>
            <w:r>
              <w:rPr>
                <w:rFonts w:hint="eastAsia" w:ascii="宋体" w:hAnsi="宋体" w:eastAsia="宋体" w:cs="宋体"/>
                <w:b/>
                <w:i w:val="0"/>
                <w:color w:val="000000"/>
                <w:kern w:val="0"/>
                <w:sz w:val="32"/>
                <w:szCs w:val="32"/>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2"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402"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 xml:space="preserve">447.00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SA"/>
              </w:rPr>
              <w:t>286.00</w:t>
            </w:r>
            <w:r>
              <w:rPr>
                <w:rFonts w:hint="eastAsia" w:ascii="宋体" w:hAnsi="宋体" w:eastAsia="宋体" w:cs="宋体"/>
                <w:b/>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[30101]基本工资</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[30102]津贴补贴</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[30103]奖金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[30104]其他社会保障缴费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kern w:val="0"/>
                <w:sz w:val="22"/>
                <w:szCs w:val="22"/>
                <w:u w:val="none"/>
                <w:lang w:val="en-US" w:eastAsia="zh-CN" w:bidi="ar-SA"/>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[30108]机关事业单位基本养老保险缴费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[30113]住房公积金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[30228]工会经费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[30302] 退休费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[30304] 抚恤金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6"/>
        <w:gridCol w:w="4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一般公共预算项目支出情况表（按</w:t>
            </w:r>
            <w:r>
              <w:rPr>
                <w:rFonts w:hint="eastAsia" w:ascii="宋体" w:hAnsi="宋体" w:cs="宋体"/>
                <w:b/>
                <w:i w:val="0"/>
                <w:color w:val="000000"/>
                <w:kern w:val="0"/>
                <w:sz w:val="36"/>
                <w:szCs w:val="36"/>
                <w:u w:val="none"/>
                <w:lang w:val="en-US" w:eastAsia="zh-CN" w:bidi="ar-SA"/>
              </w:rPr>
              <w:t>支出经济分类</w:t>
            </w:r>
            <w:r>
              <w:rPr>
                <w:rFonts w:hint="eastAsia" w:ascii="宋体" w:hAnsi="宋体" w:eastAsia="宋体" w:cs="宋体"/>
                <w:b/>
                <w:i w:val="0"/>
                <w:color w:val="000000"/>
                <w:kern w:val="0"/>
                <w:sz w:val="36"/>
                <w:szCs w:val="36"/>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6"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398"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[30399] 其他对个人和家庭的补助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tbl>
      <w:tblPr>
        <w:tblStyle w:val="8"/>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27"/>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37" w:type="dxa"/>
            <w:gridSpan w:val="2"/>
            <w:vAlign w:val="center"/>
          </w:tcPr>
          <w:p>
            <w:pPr>
              <w:widowControl/>
              <w:jc w:val="center"/>
              <w:textAlignment w:val="center"/>
              <w:rPr>
                <w:rFonts w:ascii="黑体" w:hAnsi="宋体" w:eastAsia="黑体" w:cs="黑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p>
        </w:tc>
        <w:tc>
          <w:tcPr>
            <w:tcW w:w="4410"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一、行政运行经费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286.00</w:t>
            </w:r>
            <w:r>
              <w:rPr>
                <w:rFonts w:hint="default" w:ascii="仿宋" w:hAnsi="仿宋" w:eastAsia="仿宋" w:cs="仿宋"/>
                <w:i w:val="0"/>
                <w:color w:val="000000"/>
                <w:kern w:val="0"/>
                <w:sz w:val="24"/>
                <w:szCs w:val="24"/>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二、“三公”经费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53</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（一）因公出国（境）支出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（二）公务用车购置及运行维护支出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1、公务用车购置经费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2、公务用车运行维护费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（三）公务接待费支出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25</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注：1、行政经费包括： （1）基本支出。一是包括工资、津贴及奖金、医疗费、住房补贴等（不包括离退休支出，包含离退休管理机构的在职人员支出）基本支出；二是包括办公及印刷费、水电费、邮电费、取暖费、交通费、差旅费、会议费、福利费、物业管理费、日常维修费、专业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737" w:type="dxa"/>
            <w:gridSpan w:val="2"/>
            <w:vAlign w:val="center"/>
          </w:tcPr>
          <w:p>
            <w:pPr>
              <w:rPr>
                <w:rFonts w:hint="default" w:ascii="仿宋" w:hAnsi="仿宋" w:eastAsia="仿宋" w:cs="仿宋"/>
                <w:i w:val="0"/>
                <w:color w:val="000000"/>
                <w:sz w:val="22"/>
                <w:szCs w:val="22"/>
                <w:u w:val="none"/>
              </w:rPr>
            </w:pPr>
            <w:r>
              <w:rPr>
                <w:rFonts w:hint="eastAsia" w:ascii="宋体" w:hAnsi="宋体" w:eastAsia="宋体" w:cs="宋体"/>
                <w:i w:val="0"/>
                <w:color w:val="FF0000"/>
                <w:kern w:val="0"/>
                <w:sz w:val="20"/>
                <w:szCs w:val="20"/>
                <w:u w:val="none"/>
                <w:lang w:val="en-US" w:eastAsia="zh-CN" w:bidi="ar-SA"/>
              </w:rPr>
              <w:t xml:space="preserve">   3、若本表为空表，表明本单位该表当年预算安排没有数据。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37"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4、公开本表的单位若为主管（一级）部门，则本表数据已含下属单位汇总预算数据。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tbl>
      <w:tblPr>
        <w:tblStyle w:val="8"/>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53"/>
        <w:gridCol w:w="1995"/>
        <w:gridCol w:w="1119"/>
        <w:gridCol w:w="96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467"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467" w:type="dxa"/>
            <w:gridSpan w:val="5"/>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SA"/>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048"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p>
        </w:tc>
        <w:tc>
          <w:tcPr>
            <w:tcW w:w="1119"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3300"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功能科目名称</w:t>
            </w:r>
          </w:p>
        </w:tc>
        <w:tc>
          <w:tcPr>
            <w:tcW w:w="64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467" w:type="dxa"/>
            <w:gridSpan w:val="5"/>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3.公开本表的单位若为主管（一级）部门，则本表数据已含下属单位汇总预算数据。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8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41"/>
        <w:gridCol w:w="525"/>
        <w:gridCol w:w="623"/>
        <w:gridCol w:w="562"/>
        <w:gridCol w:w="564"/>
        <w:gridCol w:w="756"/>
        <w:gridCol w:w="285"/>
        <w:gridCol w:w="954"/>
        <w:gridCol w:w="51"/>
        <w:gridCol w:w="657"/>
        <w:gridCol w:w="348"/>
        <w:gridCol w:w="870"/>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41" w:type="dxa"/>
            <w:vAlign w:val="bottom"/>
          </w:tcPr>
          <w:p>
            <w:pPr>
              <w:rPr>
                <w:rFonts w:hint="eastAsia" w:ascii="宋体" w:hAnsi="宋体" w:eastAsia="宋体" w:cs="宋体"/>
                <w:i w:val="0"/>
                <w:color w:val="000000"/>
                <w:sz w:val="20"/>
                <w:szCs w:val="20"/>
                <w:u w:val="none"/>
              </w:rPr>
            </w:pPr>
          </w:p>
        </w:tc>
        <w:tc>
          <w:tcPr>
            <w:tcW w:w="1148" w:type="dxa"/>
            <w:gridSpan w:val="2"/>
            <w:vAlign w:val="bottom"/>
          </w:tcPr>
          <w:p>
            <w:pPr>
              <w:rPr>
                <w:rFonts w:hint="eastAsia" w:ascii="宋体" w:hAnsi="宋体" w:eastAsia="宋体" w:cs="宋体"/>
                <w:i w:val="0"/>
                <w:color w:val="000000"/>
                <w:sz w:val="20"/>
                <w:szCs w:val="20"/>
                <w:u w:val="none"/>
              </w:rPr>
            </w:pPr>
          </w:p>
        </w:tc>
        <w:tc>
          <w:tcPr>
            <w:tcW w:w="1126" w:type="dxa"/>
            <w:gridSpan w:val="2"/>
            <w:vAlign w:val="bottom"/>
          </w:tcPr>
          <w:p>
            <w:pPr>
              <w:rPr>
                <w:rFonts w:hint="eastAsia" w:ascii="宋体" w:hAnsi="宋体" w:eastAsia="宋体" w:cs="宋体"/>
                <w:i w:val="0"/>
                <w:color w:val="000000"/>
                <w:sz w:val="20"/>
                <w:szCs w:val="20"/>
                <w:u w:val="none"/>
              </w:rPr>
            </w:pPr>
          </w:p>
        </w:tc>
        <w:tc>
          <w:tcPr>
            <w:tcW w:w="1041" w:type="dxa"/>
            <w:gridSpan w:val="2"/>
            <w:vAlign w:val="bottom"/>
          </w:tcPr>
          <w:p>
            <w:pPr>
              <w:rPr>
                <w:rFonts w:hint="eastAsia" w:ascii="宋体" w:hAnsi="宋体" w:eastAsia="宋体" w:cs="宋体"/>
                <w:i w:val="0"/>
                <w:color w:val="000000"/>
                <w:sz w:val="20"/>
                <w:szCs w:val="20"/>
                <w:u w:val="none"/>
              </w:rPr>
            </w:pPr>
          </w:p>
        </w:tc>
        <w:tc>
          <w:tcPr>
            <w:tcW w:w="954" w:type="dxa"/>
            <w:vAlign w:val="bottom"/>
          </w:tcPr>
          <w:p>
            <w:pPr>
              <w:rPr>
                <w:rFonts w:hint="eastAsia" w:ascii="宋体" w:hAnsi="宋体" w:eastAsia="宋体" w:cs="宋体"/>
                <w:i w:val="0"/>
                <w:color w:val="000000"/>
                <w:sz w:val="20"/>
                <w:szCs w:val="20"/>
                <w:u w:val="none"/>
              </w:rPr>
            </w:pPr>
          </w:p>
        </w:tc>
        <w:tc>
          <w:tcPr>
            <w:tcW w:w="708" w:type="dxa"/>
            <w:gridSpan w:val="2"/>
            <w:vAlign w:val="bottom"/>
          </w:tcPr>
          <w:p>
            <w:pPr>
              <w:rPr>
                <w:rFonts w:hint="eastAsia" w:ascii="宋体" w:hAnsi="宋体" w:eastAsia="宋体" w:cs="宋体"/>
                <w:i w:val="0"/>
                <w:color w:val="000000"/>
                <w:sz w:val="20"/>
                <w:szCs w:val="20"/>
                <w:u w:val="none"/>
              </w:rPr>
            </w:pPr>
          </w:p>
        </w:tc>
        <w:tc>
          <w:tcPr>
            <w:tcW w:w="1824" w:type="dxa"/>
            <w:gridSpan w:val="3"/>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42" w:type="dxa"/>
            <w:gridSpan w:val="1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40"/>
                <w:szCs w:val="40"/>
                <w:u w:val="none"/>
                <w:lang w:val="en-US" w:eastAsia="zh-CN" w:bidi="ar-SA"/>
              </w:rPr>
              <w:t>2016</w:t>
            </w:r>
            <w:r>
              <w:rPr>
                <w:rFonts w:hint="eastAsia" w:ascii="宋体" w:hAnsi="宋体" w:eastAsia="宋体" w:cs="宋体"/>
                <w:b/>
                <w:i w:val="0"/>
                <w:color w:val="000000"/>
                <w:kern w:val="0"/>
                <w:sz w:val="40"/>
                <w:szCs w:val="40"/>
                <w:u w:val="none"/>
                <w:lang w:val="en-US" w:eastAsia="zh-CN" w:bidi="ar-SA"/>
              </w:rPr>
              <w:t>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651" w:type="dxa"/>
            <w:gridSpan w:val="4"/>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p>
        </w:tc>
        <w:tc>
          <w:tcPr>
            <w:tcW w:w="564" w:type="dxa"/>
            <w:vAlign w:val="bottom"/>
          </w:tcPr>
          <w:p>
            <w:pPr>
              <w:rPr>
                <w:rFonts w:hint="eastAsia" w:ascii="宋体" w:hAnsi="宋体" w:eastAsia="宋体" w:cs="宋体"/>
                <w:i w:val="0"/>
                <w:color w:val="000000"/>
                <w:sz w:val="24"/>
                <w:szCs w:val="24"/>
                <w:u w:val="none"/>
              </w:rPr>
            </w:pPr>
          </w:p>
        </w:tc>
        <w:tc>
          <w:tcPr>
            <w:tcW w:w="1041" w:type="dxa"/>
            <w:gridSpan w:val="2"/>
            <w:vAlign w:val="bottom"/>
          </w:tcPr>
          <w:p>
            <w:pPr>
              <w:rPr>
                <w:rFonts w:hint="eastAsia" w:ascii="宋体" w:hAnsi="宋体" w:eastAsia="宋体" w:cs="宋体"/>
                <w:i w:val="0"/>
                <w:color w:val="000000"/>
                <w:sz w:val="24"/>
                <w:szCs w:val="24"/>
                <w:u w:val="none"/>
              </w:rPr>
            </w:pPr>
          </w:p>
        </w:tc>
        <w:tc>
          <w:tcPr>
            <w:tcW w:w="2010" w:type="dxa"/>
            <w:gridSpan w:val="4"/>
            <w:vAlign w:val="bottom"/>
          </w:tcPr>
          <w:p>
            <w:pPr>
              <w:rPr>
                <w:rFonts w:hint="eastAsia" w:ascii="宋体" w:hAnsi="宋体" w:eastAsia="宋体" w:cs="宋体"/>
                <w:i w:val="0"/>
                <w:color w:val="000000"/>
                <w:sz w:val="24"/>
                <w:szCs w:val="24"/>
                <w:u w:val="none"/>
              </w:rPr>
            </w:pPr>
          </w:p>
        </w:tc>
        <w:tc>
          <w:tcPr>
            <w:tcW w:w="1476" w:type="dxa"/>
            <w:gridSpan w:val="2"/>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1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36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i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罗定市</w:t>
            </w:r>
            <w:r>
              <w:rPr>
                <w:rFonts w:hint="eastAsia" w:ascii="宋体" w:hAnsi="宋体" w:cs="宋体"/>
                <w:i w:val="0"/>
                <w:color w:val="000000"/>
                <w:kern w:val="0"/>
                <w:sz w:val="24"/>
                <w:szCs w:val="24"/>
                <w:u w:val="none"/>
                <w:lang w:val="en-US" w:eastAsia="zh-CN" w:bidi="ar-SA"/>
              </w:rPr>
              <w:t>安全生产监督管理局</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447.00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工资福利性支出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286.00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286.00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286.00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商品和服务支出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108.00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108.00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108.00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对个人和家庭补助</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53.00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53.00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53.00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60"/>
        <w:gridCol w:w="1026"/>
        <w:gridCol w:w="921"/>
        <w:gridCol w:w="948"/>
        <w:gridCol w:w="961"/>
        <w:gridCol w:w="894"/>
        <w:gridCol w:w="948"/>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60" w:type="dxa"/>
            <w:vAlign w:val="bottom"/>
          </w:tcPr>
          <w:p>
            <w:pPr>
              <w:rPr>
                <w:rFonts w:hint="eastAsia" w:ascii="宋体" w:hAnsi="宋体" w:eastAsia="宋体" w:cs="宋体"/>
                <w:i w:val="0"/>
                <w:color w:val="000000"/>
                <w:sz w:val="20"/>
                <w:szCs w:val="20"/>
                <w:u w:val="none"/>
              </w:rPr>
            </w:pPr>
          </w:p>
        </w:tc>
        <w:tc>
          <w:tcPr>
            <w:tcW w:w="1026" w:type="dxa"/>
            <w:vAlign w:val="bottom"/>
          </w:tcPr>
          <w:p>
            <w:pPr>
              <w:rPr>
                <w:rFonts w:hint="eastAsia" w:ascii="宋体" w:hAnsi="宋体" w:eastAsia="宋体" w:cs="宋体"/>
                <w:i w:val="0"/>
                <w:color w:val="000000"/>
                <w:sz w:val="20"/>
                <w:szCs w:val="20"/>
                <w:u w:val="none"/>
              </w:rPr>
            </w:pPr>
          </w:p>
        </w:tc>
        <w:tc>
          <w:tcPr>
            <w:tcW w:w="921"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961" w:type="dxa"/>
            <w:vAlign w:val="bottom"/>
          </w:tcPr>
          <w:p>
            <w:pPr>
              <w:rPr>
                <w:rFonts w:hint="eastAsia" w:ascii="宋体" w:hAnsi="宋体" w:eastAsia="宋体" w:cs="宋体"/>
                <w:i w:val="0"/>
                <w:color w:val="000000"/>
                <w:sz w:val="20"/>
                <w:szCs w:val="20"/>
                <w:u w:val="none"/>
              </w:rPr>
            </w:pPr>
          </w:p>
        </w:tc>
        <w:tc>
          <w:tcPr>
            <w:tcW w:w="894"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18" w:type="dxa"/>
            <w:gridSpan w:val="8"/>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40"/>
                <w:szCs w:val="40"/>
                <w:u w:val="none"/>
                <w:lang w:val="en-US" w:eastAsia="zh-CN" w:bidi="ar-SA"/>
              </w:rPr>
              <w:t>2016</w:t>
            </w:r>
            <w:r>
              <w:rPr>
                <w:rFonts w:hint="eastAsia" w:ascii="宋体" w:hAnsi="宋体" w:eastAsia="宋体" w:cs="宋体"/>
                <w:b/>
                <w:i w:val="0"/>
                <w:color w:val="000000"/>
                <w:kern w:val="0"/>
                <w:sz w:val="40"/>
                <w:szCs w:val="40"/>
                <w:u w:val="none"/>
                <w:lang w:val="en-US" w:eastAsia="zh-CN" w:bidi="ar-SA"/>
              </w:rPr>
              <w:t>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707" w:type="dxa"/>
            <w:gridSpan w:val="3"/>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p>
        </w:tc>
        <w:tc>
          <w:tcPr>
            <w:tcW w:w="948" w:type="dxa"/>
            <w:vAlign w:val="bottom"/>
          </w:tcPr>
          <w:p>
            <w:pPr>
              <w:rPr>
                <w:rFonts w:hint="eastAsia" w:ascii="宋体" w:hAnsi="宋体" w:eastAsia="宋体" w:cs="宋体"/>
                <w:i w:val="0"/>
                <w:color w:val="000000"/>
                <w:sz w:val="24"/>
                <w:szCs w:val="24"/>
                <w:u w:val="none"/>
              </w:rPr>
            </w:pPr>
          </w:p>
        </w:tc>
        <w:tc>
          <w:tcPr>
            <w:tcW w:w="961" w:type="dxa"/>
            <w:vAlign w:val="bottom"/>
          </w:tcPr>
          <w:p>
            <w:pPr>
              <w:rPr>
                <w:rFonts w:hint="eastAsia" w:ascii="宋体" w:hAnsi="宋体" w:eastAsia="宋体" w:cs="宋体"/>
                <w:i w:val="0"/>
                <w:color w:val="000000"/>
                <w:sz w:val="24"/>
                <w:szCs w:val="24"/>
                <w:u w:val="none"/>
              </w:rPr>
            </w:pPr>
          </w:p>
        </w:tc>
        <w:tc>
          <w:tcPr>
            <w:tcW w:w="894" w:type="dxa"/>
            <w:vAlign w:val="bottom"/>
          </w:tcPr>
          <w:p>
            <w:pPr>
              <w:rPr>
                <w:rFonts w:hint="eastAsia" w:ascii="宋体" w:hAnsi="宋体" w:eastAsia="宋体" w:cs="宋体"/>
                <w:i w:val="0"/>
                <w:color w:val="000000"/>
                <w:sz w:val="24"/>
                <w:szCs w:val="24"/>
                <w:u w:val="none"/>
              </w:rPr>
            </w:pPr>
          </w:p>
        </w:tc>
        <w:tc>
          <w:tcPr>
            <w:tcW w:w="948" w:type="dxa"/>
            <w:vAlign w:val="bottom"/>
          </w:tcPr>
          <w:p>
            <w:pPr>
              <w:rPr>
                <w:rFonts w:hint="eastAsia" w:ascii="宋体" w:hAnsi="宋体" w:eastAsia="宋体" w:cs="宋体"/>
                <w:i w:val="0"/>
                <w:color w:val="000000"/>
                <w:sz w:val="24"/>
                <w:szCs w:val="24"/>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28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8" w:type="dxa"/>
            <w:gridSpan w:val="8"/>
            <w:vAlign w:val="bottom"/>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SA"/>
              </w:rPr>
              <w:t>注：若本表为空表，表明本单位该表当年预算安排没有数据。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447.00万元，比上年增加122万元，增长27.2%，主要原因：一是本年度干部职工工资增长，二是本年度公务用车下乡频繁。部门支出预算447.00万元，比上年增加122万元，增长27.2%，主要原因：一是本年度干部职工工资增长，二是本年度公务用车下乡频繁。</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财政拨款预算合计为53万元，比上年减少5万元，减少了9%，主要原因：本年没有车辆购置。其中：因公出国（境）费0万元，与上年保持不变；公务用车购置及运行费28万元，比上年减少了3万元，减少了17%；公务接待费25万元，比上年减少2万元，减少8%，主要厉行节约，减少不必要的公务活动。下一步我局将根据中央八项规定以及省委省政府关于行政经费节约增效要求，厉行节约，进一步加强经费支出管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447万元，比上年增加122万元，增长27.2%,其中：办公费20万元，印刷费7万元，邮电费12万元，水费1万元，电费8万元，差旅费7万元，日常维修费7万元，手续费1万元，培训费15万元，公务接待费25万元，公务用车运行维护费28万元，其他商品和服务支出5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2016年本部门政府采购安排0万元，其中：货物类采购预算0万元，工程类采购预算0万元，服务类采购预算0万元等。（2016年本部门没有进行政府采购预算安排）</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截至2016年12月31日，本部门共有车辆5辆，其中：一般公务用车2辆，一般执法执勤用车2辆,公车改革拍卖1辆。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2016年，我局将根据市财政预算绩效评估工作要求，对本部门需进行预算绩效评估的项目进行自评，并将自评信息按相关规定公开。</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（二）一般公共预算拨款收入：指市财政当年拨付的资金。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（三）其他收入：指除上述“财政拨款收入”、“事业收入”、“经营收入”等以外的收入。</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（四）上年结转：指上年度尚未完成、结转到本年按有关规定继续使用的资金。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（五）结转下年:指本年度预算安排、因客观条件发生变化无法按原计划实施，需要延迟到下年度按有关规定继续使用的资金。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（六）基本支出：指为保障机构正常运转、完成日常工作任务而发生的人员支出和公用支出。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（七）项目支出： 指在基本支出之外为完成特定行政任务和事业发展目标所发生的支出。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lang w:val="en-US" w:eastAsia="zh-CN"/>
        </w:rPr>
      </w:pPr>
    </w:p>
    <w:sectPr>
      <w:headerReference r:id="rId4" w:type="default"/>
      <w:footerReference r:id="rId5" w:type="default"/>
      <w:pgSz w:w="11906" w:h="16838"/>
      <w:pgMar w:top="1383" w:right="1800" w:bottom="1270" w:left="1800"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452">
    <w:nsid w:val="5A5F2384"/>
    <w:multiLevelType w:val="singleLevel"/>
    <w:tmpl w:val="5A5F2384"/>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4C837E3"/>
    <w:rsid w:val="05685584"/>
    <w:rsid w:val="065906F6"/>
    <w:rsid w:val="090F576C"/>
    <w:rsid w:val="0A616013"/>
    <w:rsid w:val="0C341AD6"/>
    <w:rsid w:val="0D9E66F9"/>
    <w:rsid w:val="0F2130DE"/>
    <w:rsid w:val="112934B3"/>
    <w:rsid w:val="13016A31"/>
    <w:rsid w:val="13B27CF9"/>
    <w:rsid w:val="148C1946"/>
    <w:rsid w:val="16E24019"/>
    <w:rsid w:val="1DBA77F8"/>
    <w:rsid w:val="20EE6A13"/>
    <w:rsid w:val="215B63C6"/>
    <w:rsid w:val="21DE311D"/>
    <w:rsid w:val="26FE7307"/>
    <w:rsid w:val="27275E66"/>
    <w:rsid w:val="2E953B7B"/>
    <w:rsid w:val="30BC1E42"/>
    <w:rsid w:val="332C5530"/>
    <w:rsid w:val="36E602DD"/>
    <w:rsid w:val="38996D78"/>
    <w:rsid w:val="39F21A1E"/>
    <w:rsid w:val="401776B5"/>
    <w:rsid w:val="45B11EE5"/>
    <w:rsid w:val="471E62B6"/>
    <w:rsid w:val="50CB6A87"/>
    <w:rsid w:val="514F07F2"/>
    <w:rsid w:val="52295F56"/>
    <w:rsid w:val="56651658"/>
    <w:rsid w:val="571E12FD"/>
    <w:rsid w:val="57540152"/>
    <w:rsid w:val="57746489"/>
    <w:rsid w:val="58DF2C2B"/>
    <w:rsid w:val="59723D50"/>
    <w:rsid w:val="5A213E79"/>
    <w:rsid w:val="5B3B333C"/>
    <w:rsid w:val="5CEF6FFC"/>
    <w:rsid w:val="60E37A9B"/>
    <w:rsid w:val="65B31E66"/>
    <w:rsid w:val="66D06120"/>
    <w:rsid w:val="68344483"/>
    <w:rsid w:val="688B4E92"/>
    <w:rsid w:val="6CDE15A9"/>
    <w:rsid w:val="6D9B07DA"/>
    <w:rsid w:val="6F971743"/>
    <w:rsid w:val="7430634D"/>
    <w:rsid w:val="74AB0875"/>
    <w:rsid w:val="75063688"/>
    <w:rsid w:val="7538395C"/>
    <w:rsid w:val="7A3D118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uiPriority w:val="0"/>
    <w:rPr/>
  </w:style>
  <w:style w:type="paragraph" w:customStyle="1" w:styleId="9">
    <w:name w:val="正文 New New New New"/>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unknown</cp:lastModifiedBy>
  <cp:lastPrinted>2018-04-02T01:54:00Z</cp:lastPrinted>
  <dcterms:modified xsi:type="dcterms:W3CDTF">2018-06-14T09:36:21Z</dcterms:modified>
  <dc:title>2018年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