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/>
          <w:sz w:val="72"/>
          <w:szCs w:val="72"/>
        </w:rPr>
        <w:t>2017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年</w:t>
      </w: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罗定市幼儿园部门预算</w:t>
      </w: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85F5E" w:rsidRDefault="00585F5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br w:type="page"/>
      </w: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585F5E" w:rsidRDefault="00585F5E">
      <w:pPr>
        <w:jc w:val="center"/>
        <w:rPr>
          <w:rFonts w:ascii="黑体" w:eastAsia="黑体" w:hAnsi="黑体" w:cs="黑体"/>
          <w:sz w:val="44"/>
          <w:szCs w:val="44"/>
        </w:rPr>
      </w:pPr>
    </w:p>
    <w:p w:rsidR="00585F5E" w:rsidRDefault="00585F5E" w:rsidP="002750FC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罗定市幼儿园（部门名称）概况</w:t>
      </w:r>
    </w:p>
    <w:p w:rsidR="00585F5E" w:rsidRDefault="00585F5E" w:rsidP="002750FC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85F5E" w:rsidRDefault="00585F5E" w:rsidP="002750FC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85F5E" w:rsidRDefault="00585F5E" w:rsidP="002750FC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2017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85F5E" w:rsidRDefault="00585F5E" w:rsidP="00A4167D">
      <w:pPr>
        <w:numPr>
          <w:ilvl w:val="0"/>
          <w:numId w:val="5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85F5E" w:rsidRDefault="00585F5E" w:rsidP="002750FC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85F5E" w:rsidRDefault="00585F5E" w:rsidP="002750FC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5F5E" w:rsidRDefault="00585F5E" w:rsidP="002750FC">
      <w:pPr>
        <w:ind w:firstLineChars="350" w:firstLine="31680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sz w:val="32"/>
          <w:szCs w:val="32"/>
        </w:rPr>
        <w:t>罗定市幼儿园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概况</w:t>
      </w:r>
    </w:p>
    <w:p w:rsidR="00585F5E" w:rsidRDefault="00585F5E">
      <w:pPr>
        <w:rPr>
          <w:rFonts w:ascii="黑体" w:eastAsia="黑体" w:hAnsi="黑体" w:cs="黑体"/>
          <w:sz w:val="44"/>
          <w:szCs w:val="44"/>
        </w:rPr>
      </w:pPr>
    </w:p>
    <w:p w:rsidR="00585F5E" w:rsidRDefault="00585F5E">
      <w:pPr>
        <w:numPr>
          <w:ilvl w:val="0"/>
          <w:numId w:val="3"/>
        </w:numPr>
        <w:ind w:firstLine="640"/>
        <w:rPr>
          <w:rFonts w:ascii="楷体_GB2312" w:eastAsia="楷体_GB2312" w:hAnsi="黑体" w:cs="黑体"/>
          <w:b/>
          <w:sz w:val="32"/>
          <w:szCs w:val="32"/>
        </w:rPr>
      </w:pPr>
      <w:r>
        <w:rPr>
          <w:rFonts w:ascii="楷体_GB2312" w:eastAsia="楷体_GB2312" w:hAnsi="黑体" w:cs="黑体" w:hint="eastAsia"/>
          <w:b/>
          <w:sz w:val="32"/>
          <w:szCs w:val="32"/>
        </w:rPr>
        <w:t>主要职责</w:t>
      </w:r>
    </w:p>
    <w:p w:rsidR="00585F5E" w:rsidRPr="00160DEE" w:rsidRDefault="00585F5E" w:rsidP="00160DEE">
      <w:pPr>
        <w:numPr>
          <w:ilvl w:val="0"/>
          <w:numId w:val="3"/>
        </w:numPr>
        <w:ind w:firstLine="640"/>
        <w:rPr>
          <w:rFonts w:ascii="仿宋_GB2312" w:eastAsia="仿宋_GB2312" w:hAnsi="黑体" w:cs="黑体"/>
          <w:sz w:val="32"/>
          <w:szCs w:val="32"/>
        </w:rPr>
      </w:pPr>
      <w:r w:rsidRPr="006710C8">
        <w:rPr>
          <w:rFonts w:ascii="仿宋_GB2312" w:eastAsia="仿宋_GB2312" w:hAnsi="宋体" w:hint="eastAsia"/>
          <w:sz w:val="30"/>
          <w:szCs w:val="30"/>
        </w:rPr>
        <w:t>我园是一所独立核算、财政预算全额拨款单位，</w:t>
      </w:r>
      <w:r w:rsidRPr="00160DEE">
        <w:rPr>
          <w:rFonts w:ascii="仿宋_GB2312" w:eastAsia="仿宋_GB2312" w:hAnsi="黑体" w:cs="黑体" w:hint="eastAsia"/>
          <w:sz w:val="32"/>
          <w:szCs w:val="32"/>
        </w:rPr>
        <w:t>主要职责是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585F5E" w:rsidRDefault="00585F5E" w:rsidP="002750FC">
      <w:pPr>
        <w:ind w:firstLineChars="200" w:firstLine="3168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为</w:t>
      </w:r>
      <w:r>
        <w:rPr>
          <w:rFonts w:ascii="楷体_GB2312" w:eastAsia="楷体_GB2312" w:hAnsi="微软雅黑"/>
          <w:color w:val="434343"/>
          <w:sz w:val="32"/>
          <w:szCs w:val="32"/>
          <w:shd w:val="clear" w:color="auto" w:fill="FFFFFF"/>
        </w:rPr>
        <w:t>3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至</w:t>
      </w:r>
      <w:r>
        <w:rPr>
          <w:rFonts w:ascii="楷体_GB2312" w:eastAsia="楷体_GB2312" w:hAnsi="微软雅黑"/>
          <w:color w:val="434343"/>
          <w:sz w:val="32"/>
          <w:szCs w:val="32"/>
          <w:shd w:val="clear" w:color="auto" w:fill="FFFFFF"/>
        </w:rPr>
        <w:t>6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岁幼儿提供保育和教育服务；</w:t>
      </w:r>
      <w:r>
        <w:rPr>
          <w:rFonts w:ascii="微软雅黑" w:eastAsia="楷体_GB2312" w:hAnsi="微软雅黑"/>
          <w:color w:val="434343"/>
          <w:sz w:val="32"/>
          <w:szCs w:val="32"/>
          <w:shd w:val="clear" w:color="auto" w:fill="FFFFFF"/>
        </w:rPr>
        <w:t> </w:t>
      </w:r>
    </w:p>
    <w:p w:rsidR="00585F5E" w:rsidRDefault="00585F5E">
      <w:pPr>
        <w:ind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贯彻国家的教育方针，全面实施素质教育，促进幼儿身心健康发展；</w:t>
      </w:r>
    </w:p>
    <w:p w:rsidR="00585F5E" w:rsidRDefault="00585F5E">
      <w:pPr>
        <w:ind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遵照国家有关规定收取费用并公开收费项目。</w:t>
      </w:r>
    </w:p>
    <w:p w:rsidR="00585F5E" w:rsidRDefault="00585F5E" w:rsidP="002750FC">
      <w:pPr>
        <w:ind w:firstLineChars="150" w:firstLine="31680"/>
        <w:rPr>
          <w:rFonts w:ascii="楷体_GB2312" w:eastAsia="楷体_GB2312" w:hAnsi="黑体" w:cs="黑体"/>
          <w:sz w:val="32"/>
          <w:szCs w:val="32"/>
        </w:rPr>
      </w:pPr>
      <w:r>
        <w:rPr>
          <w:rFonts w:ascii="楷体_GB2312" w:eastAsia="楷体_GB2312" w:hAnsi="黑体" w:cs="黑体" w:hint="eastAsia"/>
          <w:sz w:val="32"/>
          <w:szCs w:val="32"/>
        </w:rPr>
        <w:t>二、</w:t>
      </w:r>
      <w:r>
        <w:rPr>
          <w:rFonts w:ascii="楷体_GB2312" w:eastAsia="楷体_GB2312" w:hAnsi="黑体" w:cs="黑体" w:hint="eastAsia"/>
          <w:b/>
          <w:sz w:val="32"/>
          <w:szCs w:val="32"/>
        </w:rPr>
        <w:t>机构设置</w:t>
      </w:r>
    </w:p>
    <w:p w:rsidR="00585F5E" w:rsidRDefault="00585F5E">
      <w:pPr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/>
          <w:sz w:val="32"/>
          <w:szCs w:val="32"/>
        </w:rPr>
        <w:t xml:space="preserve">    </w:t>
      </w:r>
      <w:r>
        <w:rPr>
          <w:rFonts w:ascii="楷体_GB2312" w:eastAsia="楷体_GB2312" w:hAnsi="仿宋_GB2312" w:cs="仿宋_GB2312" w:hint="eastAsia"/>
          <w:sz w:val="32"/>
          <w:szCs w:val="32"/>
        </w:rPr>
        <w:t>本部门是独立核算单位，上级主管部门是罗定市教育局，无下属单位。本部门内设机构</w:t>
      </w:r>
      <w:r>
        <w:rPr>
          <w:rFonts w:ascii="楷体_GB2312" w:eastAsia="楷体_GB2312" w:hAnsi="仿宋_GB2312" w:cs="仿宋_GB2312"/>
          <w:sz w:val="32"/>
          <w:szCs w:val="32"/>
        </w:rPr>
        <w:t>3</w:t>
      </w:r>
      <w:r>
        <w:rPr>
          <w:rFonts w:ascii="楷体_GB2312" w:eastAsia="楷体_GB2312" w:hAnsi="仿宋_GB2312" w:cs="仿宋_GB2312" w:hint="eastAsia"/>
          <w:sz w:val="32"/>
          <w:szCs w:val="32"/>
        </w:rPr>
        <w:t>个：园务处、办公室、后勤室。</w:t>
      </w:r>
    </w:p>
    <w:p w:rsidR="00585F5E" w:rsidRDefault="00585F5E">
      <w:pPr>
        <w:spacing w:line="640" w:lineRule="exact"/>
        <w:ind w:left="48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人员构成</w:t>
      </w:r>
    </w:p>
    <w:p w:rsidR="00585F5E" w:rsidRDefault="00585F5E">
      <w:pPr>
        <w:spacing w:line="640" w:lineRule="exact"/>
        <w:ind w:left="4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人员构成情况：</w:t>
      </w:r>
      <w:r>
        <w:rPr>
          <w:rFonts w:ascii="楷体_GB2312" w:eastAsia="楷体_GB2312" w:hint="eastAsia"/>
          <w:sz w:val="32"/>
          <w:szCs w:val="32"/>
        </w:rPr>
        <w:t>编制人数</w:t>
      </w:r>
      <w:r>
        <w:rPr>
          <w:rFonts w:ascii="楷体_GB2312" w:eastAsia="楷体_GB2312"/>
          <w:sz w:val="32"/>
          <w:szCs w:val="32"/>
        </w:rPr>
        <w:t xml:space="preserve"> 74</w:t>
      </w:r>
      <w:r>
        <w:rPr>
          <w:rFonts w:ascii="楷体_GB2312" w:eastAsia="楷体_GB2312" w:hint="eastAsia"/>
          <w:sz w:val="32"/>
          <w:szCs w:val="32"/>
        </w:rPr>
        <w:t xml:space="preserve">人，其中：行政编制　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 xml:space="preserve">　人，事业编制</w:t>
      </w:r>
      <w:r>
        <w:rPr>
          <w:rFonts w:ascii="楷体_GB2312" w:eastAsia="楷体_GB2312"/>
          <w:sz w:val="32"/>
          <w:szCs w:val="32"/>
        </w:rPr>
        <w:t>74</w:t>
      </w:r>
      <w:r>
        <w:rPr>
          <w:rFonts w:ascii="楷体_GB2312" w:eastAsia="楷体_GB2312" w:hint="eastAsia"/>
          <w:sz w:val="32"/>
          <w:szCs w:val="32"/>
        </w:rPr>
        <w:t>人，工勤人员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人。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实有人数</w:t>
      </w:r>
      <w:r>
        <w:rPr>
          <w:rFonts w:ascii="楷体_GB2312" w:eastAsia="楷体_GB2312"/>
          <w:sz w:val="32"/>
          <w:szCs w:val="32"/>
        </w:rPr>
        <w:t>99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52 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>22</w:t>
      </w:r>
      <w:r>
        <w:rPr>
          <w:rFonts w:ascii="楷体_GB2312" w:eastAsia="楷体_GB2312" w:hint="eastAsia"/>
          <w:sz w:val="32"/>
          <w:szCs w:val="32"/>
        </w:rPr>
        <w:t xml:space="preserve">人。　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纳入统发工资人数</w:t>
      </w:r>
      <w:r>
        <w:rPr>
          <w:rFonts w:ascii="楷体_GB2312" w:eastAsia="楷体_GB2312"/>
          <w:sz w:val="32"/>
          <w:szCs w:val="32"/>
        </w:rPr>
        <w:t xml:space="preserve"> 74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 52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 xml:space="preserve">  22</w:t>
      </w:r>
      <w:r>
        <w:rPr>
          <w:rFonts w:ascii="楷体_GB2312" w:eastAsia="楷体_GB2312" w:hint="eastAsia"/>
          <w:sz w:val="32"/>
          <w:szCs w:val="32"/>
        </w:rPr>
        <w:t>人。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　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非统发工资人数</w:t>
      </w:r>
      <w:r>
        <w:rPr>
          <w:rFonts w:ascii="楷体_GB2312" w:eastAsia="楷体_GB2312"/>
          <w:sz w:val="32"/>
          <w:szCs w:val="32"/>
        </w:rPr>
        <w:t xml:space="preserve"> 25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25 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 xml:space="preserve">0  </w:t>
      </w:r>
      <w:r>
        <w:rPr>
          <w:rFonts w:ascii="楷体_GB2312" w:eastAsia="楷体_GB2312" w:hint="eastAsia"/>
          <w:sz w:val="32"/>
          <w:szCs w:val="32"/>
        </w:rPr>
        <w:t>人，其他人员</w:t>
      </w:r>
      <w:r>
        <w:rPr>
          <w:rFonts w:ascii="楷体_GB2312" w:eastAsia="楷体_GB2312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人。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（二）车辆情况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车辆定编</w:t>
      </w:r>
      <w:r>
        <w:rPr>
          <w:rFonts w:ascii="楷体_GB2312" w:eastAsia="楷体_GB2312"/>
          <w:sz w:val="32"/>
          <w:szCs w:val="32"/>
        </w:rPr>
        <w:t xml:space="preserve">  0 </w:t>
      </w:r>
      <w:r>
        <w:rPr>
          <w:rFonts w:ascii="楷体_GB2312" w:eastAsia="楷体_GB2312" w:hint="eastAsia"/>
          <w:sz w:val="32"/>
          <w:szCs w:val="32"/>
        </w:rPr>
        <w:t>台，实有车辆</w:t>
      </w:r>
      <w:r>
        <w:rPr>
          <w:rFonts w:ascii="楷体_GB2312" w:eastAsia="楷体_GB2312"/>
          <w:sz w:val="32"/>
          <w:szCs w:val="32"/>
        </w:rPr>
        <w:t xml:space="preserve"> 0  </w:t>
      </w:r>
      <w:r>
        <w:rPr>
          <w:rFonts w:ascii="楷体_GB2312" w:eastAsia="楷体_GB2312" w:hint="eastAsia"/>
          <w:sz w:val="32"/>
          <w:szCs w:val="32"/>
        </w:rPr>
        <w:t>台。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二、预算收支基本情况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本年度收入预算　</w:t>
      </w:r>
      <w:r>
        <w:rPr>
          <w:rFonts w:ascii="楷体_GB2312" w:eastAsia="楷体_GB2312"/>
          <w:sz w:val="32"/>
          <w:szCs w:val="32"/>
        </w:rPr>
        <w:t>342</w:t>
      </w:r>
      <w:r>
        <w:rPr>
          <w:rFonts w:ascii="楷体_GB2312" w:eastAsia="楷体_GB2312" w:hint="eastAsia"/>
          <w:sz w:val="32"/>
          <w:szCs w:val="32"/>
        </w:rPr>
        <w:t>万元，其中：</w:t>
      </w:r>
      <w:r>
        <w:rPr>
          <w:rFonts w:ascii="楷体_GB2312" w:eastAsia="楷体_GB2312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 xml:space="preserve">．财政预算拨款　　</w:t>
      </w:r>
      <w:r>
        <w:rPr>
          <w:rFonts w:ascii="楷体_GB2312" w:eastAsia="楷体_GB2312"/>
          <w:sz w:val="32"/>
          <w:szCs w:val="32"/>
        </w:rPr>
        <w:t>342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．财政专户拨款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 xml:space="preserve"> 3</w:t>
      </w:r>
      <w:r>
        <w:rPr>
          <w:rFonts w:ascii="楷体_GB2312" w:eastAsia="楷体_GB2312" w:hint="eastAsia"/>
          <w:sz w:val="32"/>
          <w:szCs w:val="32"/>
        </w:rPr>
        <w:t>．其他收入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>4</w:t>
      </w:r>
      <w:r>
        <w:rPr>
          <w:rFonts w:ascii="楷体_GB2312" w:eastAsia="楷体_GB2312" w:hint="eastAsia"/>
          <w:sz w:val="32"/>
          <w:szCs w:val="32"/>
        </w:rPr>
        <w:t>．上年结转、结余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万元。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本年度支出预算</w:t>
      </w:r>
      <w:r>
        <w:rPr>
          <w:rFonts w:ascii="楷体_GB2312" w:eastAsia="楷体_GB2312"/>
          <w:sz w:val="32"/>
          <w:szCs w:val="32"/>
        </w:rPr>
        <w:t>342</w:t>
      </w:r>
      <w:r>
        <w:rPr>
          <w:rFonts w:ascii="楷体_GB2312" w:eastAsia="楷体_GB2312" w:hint="eastAsia"/>
          <w:sz w:val="32"/>
          <w:szCs w:val="32"/>
        </w:rPr>
        <w:t>万元，其中：基本支出</w:t>
      </w:r>
      <w:r>
        <w:rPr>
          <w:rFonts w:ascii="楷体_GB2312" w:eastAsia="楷体_GB2312"/>
          <w:sz w:val="32"/>
          <w:szCs w:val="32"/>
        </w:rPr>
        <w:t>342</w:t>
      </w:r>
      <w:r>
        <w:rPr>
          <w:rFonts w:ascii="楷体_GB2312" w:eastAsia="楷体_GB2312" w:hint="eastAsia"/>
          <w:sz w:val="32"/>
          <w:szCs w:val="32"/>
        </w:rPr>
        <w:t>万元，（其中：工资福利支出</w:t>
      </w:r>
      <w:r>
        <w:rPr>
          <w:rFonts w:ascii="楷体_GB2312" w:eastAsia="楷体_GB2312"/>
          <w:sz w:val="32"/>
          <w:szCs w:val="32"/>
        </w:rPr>
        <w:t>298</w:t>
      </w:r>
      <w:r>
        <w:rPr>
          <w:rFonts w:ascii="楷体_GB2312" w:eastAsia="楷体_GB2312" w:hint="eastAsia"/>
          <w:sz w:val="32"/>
          <w:szCs w:val="32"/>
        </w:rPr>
        <w:t>万元，商品和服务支出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万元，对个人和家庭的补助</w:t>
      </w:r>
      <w:r>
        <w:rPr>
          <w:rFonts w:ascii="楷体_GB2312" w:eastAsia="楷体_GB2312"/>
          <w:sz w:val="32"/>
          <w:szCs w:val="32"/>
        </w:rPr>
        <w:t>44</w:t>
      </w:r>
      <w:r>
        <w:rPr>
          <w:rFonts w:ascii="楷体_GB2312" w:eastAsia="楷体_GB2312" w:hint="eastAsia"/>
          <w:sz w:val="32"/>
          <w:szCs w:val="32"/>
        </w:rPr>
        <w:t>万元）；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三、项目支出基本情况</w:t>
      </w:r>
      <w:r>
        <w:rPr>
          <w:rFonts w:ascii="楷体_GB2312" w:eastAsia="楷体_GB2312" w:hint="eastAsia"/>
          <w:sz w:val="32"/>
          <w:szCs w:val="32"/>
        </w:rPr>
        <w:t>（主要是填列专项业务等行政事业类项目）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（一）经常性专项支出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万元，主要项目如下：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四、非税收入征收情况</w:t>
      </w:r>
    </w:p>
    <w:p w:rsidR="00585F5E" w:rsidRDefault="00585F5E" w:rsidP="002750FC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2017</w:t>
      </w:r>
      <w:r>
        <w:rPr>
          <w:rFonts w:ascii="楷体_GB2312" w:eastAsia="楷体_GB2312" w:hint="eastAsia"/>
          <w:sz w:val="32"/>
          <w:szCs w:val="32"/>
        </w:rPr>
        <w:t>年非税收入征收计划</w:t>
      </w:r>
      <w:r>
        <w:rPr>
          <w:rFonts w:ascii="楷体_GB2312" w:eastAsia="楷体_GB2312"/>
          <w:sz w:val="32"/>
          <w:szCs w:val="32"/>
        </w:rPr>
        <w:t xml:space="preserve"> 192</w:t>
      </w:r>
      <w:r>
        <w:rPr>
          <w:rFonts w:ascii="楷体_GB2312" w:eastAsia="楷体_GB2312" w:hint="eastAsia"/>
          <w:sz w:val="32"/>
          <w:szCs w:val="32"/>
        </w:rPr>
        <w:t>万元，其中：行事收费</w:t>
      </w:r>
      <w:r>
        <w:rPr>
          <w:rFonts w:ascii="楷体_GB2312" w:eastAsia="楷体_GB2312"/>
          <w:sz w:val="32"/>
          <w:szCs w:val="32"/>
        </w:rPr>
        <w:t xml:space="preserve">  192</w:t>
      </w:r>
      <w:r>
        <w:rPr>
          <w:rFonts w:ascii="楷体_GB2312" w:eastAsia="楷体_GB2312" w:hint="eastAsia"/>
          <w:sz w:val="32"/>
          <w:szCs w:val="32"/>
        </w:rPr>
        <w:t>万元；罚没收入</w:t>
      </w:r>
      <w:r>
        <w:rPr>
          <w:rFonts w:ascii="楷体_GB2312" w:eastAsia="楷体_GB2312"/>
          <w:sz w:val="32"/>
          <w:szCs w:val="32"/>
        </w:rPr>
        <w:t xml:space="preserve"> 0  </w:t>
      </w:r>
      <w:r>
        <w:rPr>
          <w:rFonts w:ascii="楷体_GB2312" w:eastAsia="楷体_GB2312" w:hint="eastAsia"/>
          <w:sz w:val="32"/>
          <w:szCs w:val="32"/>
        </w:rPr>
        <w:t>万元；政府性基金</w:t>
      </w:r>
      <w:r>
        <w:rPr>
          <w:rFonts w:ascii="楷体_GB2312" w:eastAsia="楷体_GB2312"/>
          <w:sz w:val="32"/>
          <w:szCs w:val="32"/>
        </w:rPr>
        <w:t xml:space="preserve">  0</w:t>
      </w:r>
      <w:r>
        <w:rPr>
          <w:rFonts w:ascii="楷体_GB2312" w:eastAsia="楷体_GB2312" w:hint="eastAsia"/>
          <w:sz w:val="32"/>
          <w:szCs w:val="32"/>
        </w:rPr>
        <w:t>万元；其他收入</w:t>
      </w:r>
      <w:r>
        <w:rPr>
          <w:rFonts w:ascii="楷体_GB2312" w:eastAsia="楷体_GB2312"/>
          <w:sz w:val="32"/>
          <w:szCs w:val="32"/>
        </w:rPr>
        <w:t xml:space="preserve">  0</w:t>
      </w:r>
      <w:r>
        <w:rPr>
          <w:rFonts w:ascii="楷体_GB2312" w:eastAsia="楷体_GB2312" w:hint="eastAsia"/>
          <w:sz w:val="32"/>
          <w:szCs w:val="32"/>
        </w:rPr>
        <w:t>万元。</w:t>
      </w:r>
    </w:p>
    <w:p w:rsidR="00585F5E" w:rsidRDefault="00585F5E">
      <w:pPr>
        <w:jc w:val="center"/>
        <w:rPr>
          <w:rFonts w:ascii="黑体" w:eastAsia="黑体" w:hAnsi="黑体" w:cs="黑体"/>
          <w:sz w:val="44"/>
          <w:szCs w:val="44"/>
        </w:rPr>
        <w:sectPr w:rsidR="00585F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部门预算表</w:t>
      </w:r>
    </w:p>
    <w:p w:rsidR="00585F5E" w:rsidRDefault="00585F5E"/>
    <w:p w:rsidR="00585F5E" w:rsidRDefault="00585F5E">
      <w:pPr>
        <w:rPr>
          <w:rFonts w:ascii="楷体_GB2312" w:eastAsia="楷体_GB2312" w:hAnsi="楷体_GB2312" w:cs="楷体_GB231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247.5pt">
            <v:imagedata r:id="rId5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pPr>
        <w:sectPr w:rsidR="00585F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pict>
          <v:shape id="_x0000_i1026" type="#_x0000_t75" style="width:405pt;height:445.5pt">
            <v:imagedata r:id="rId6" o:title=""/>
          </v:shape>
        </w:pict>
      </w:r>
    </w:p>
    <w:p w:rsidR="00585F5E" w:rsidRDefault="00585F5E">
      <w:r>
        <w:pict>
          <v:shape id="_x0000_i1027" type="#_x0000_t75" style="width:396pt;height:624.75pt">
            <v:imagedata r:id="rId7" o:title=""/>
          </v:shape>
        </w:pict>
      </w:r>
    </w:p>
    <w:p w:rsidR="00585F5E" w:rsidRDefault="00585F5E">
      <w:pPr>
        <w:sectPr w:rsidR="00585F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5F5E" w:rsidRDefault="00585F5E">
      <w:r>
        <w:pict>
          <v:shape id="_x0000_i1028" type="#_x0000_t75" style="width:410.25pt;height:141pt">
            <v:imagedata r:id="rId8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r>
        <w:pict>
          <v:shape id="_x0000_i1029" type="#_x0000_t75" style="width:413.25pt;height:211.5pt">
            <v:imagedata r:id="rId9" o:title=""/>
          </v:shape>
        </w:pict>
      </w:r>
    </w:p>
    <w:p w:rsidR="00585F5E" w:rsidRDefault="00585F5E">
      <w:r>
        <w:pict>
          <v:shape id="_x0000_i1030" type="#_x0000_t75" style="width:357pt;height:687.75pt">
            <v:imagedata r:id="rId10" o:title=""/>
          </v:shape>
        </w:pict>
      </w:r>
    </w:p>
    <w:p w:rsidR="00585F5E" w:rsidRDefault="00585F5E">
      <w:r>
        <w:pict>
          <v:shape id="_x0000_i1031" type="#_x0000_t75" style="width:410.25pt;height:535.5pt">
            <v:imagedata r:id="rId11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r>
        <w:pict>
          <v:shape id="_x0000_i1032" type="#_x0000_t75" style="width:410.25pt;height:430.5pt">
            <v:imagedata r:id="rId12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r>
        <w:pict>
          <v:shape id="_x0000_i1033" type="#_x0000_t75" style="width:413.25pt;height:243.75pt">
            <v:imagedata r:id="rId13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r>
        <w:pict>
          <v:shape id="_x0000_i1034" type="#_x0000_t75" style="width:411pt;height:331.5pt">
            <v:imagedata r:id="rId14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r>
        <w:pict>
          <v:shape id="_x0000_i1035" type="#_x0000_t75" style="width:410.25pt;height:363pt">
            <v:imagedata r:id="rId15" o:title=""/>
          </v:shape>
        </w:pict>
      </w:r>
    </w:p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/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85F5E" w:rsidRDefault="00585F5E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5F5E" w:rsidRDefault="00585F5E" w:rsidP="00961DED">
      <w:pPr>
        <w:numPr>
          <w:ilvl w:val="0"/>
          <w:numId w:val="19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85F5E" w:rsidRDefault="00585F5E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342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万元，减少</w:t>
      </w:r>
      <w:r>
        <w:rPr>
          <w:rFonts w:ascii="仿宋_GB2312" w:eastAsia="仿宋_GB2312" w:hAnsi="仿宋_GB2312" w:cs="仿宋_GB2312"/>
          <w:sz w:val="32"/>
          <w:szCs w:val="32"/>
        </w:rPr>
        <w:t>11%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，主要原因是财政安排资金减少；支出预算</w:t>
      </w:r>
      <w:r>
        <w:rPr>
          <w:rFonts w:ascii="仿宋_GB2312" w:eastAsia="仿宋_GB2312" w:hAnsi="仿宋_GB2312" w:cs="仿宋_GB2312"/>
          <w:sz w:val="32"/>
          <w:szCs w:val="32"/>
        </w:rPr>
        <w:t>342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万元，减少</w:t>
      </w:r>
      <w:r>
        <w:rPr>
          <w:rFonts w:ascii="仿宋_GB2312" w:eastAsia="仿宋_GB2312" w:hAnsi="仿宋_GB2312" w:cs="仿宋_GB2312"/>
          <w:sz w:val="32"/>
          <w:szCs w:val="32"/>
        </w:rPr>
        <w:t>11%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，主要原因是财政安排资金减少。</w:t>
      </w:r>
    </w:p>
    <w:p w:rsidR="00585F5E" w:rsidRDefault="00585F5E" w:rsidP="00961DED">
      <w:pPr>
        <w:numPr>
          <w:ilvl w:val="0"/>
          <w:numId w:val="18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585F5E" w:rsidRPr="00961DED" w:rsidRDefault="00585F5E" w:rsidP="002750FC">
      <w:pPr>
        <w:ind w:firstLineChars="250" w:firstLine="31680"/>
        <w:rPr>
          <w:rFonts w:ascii="宋体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万元；公务接待费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万元，与上年保持不变，计划用行政事业性收费列支，不纳财政收支预算总额。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 w:rsidRPr="00961DED">
        <w:rPr>
          <w:rFonts w:ascii="宋体" w:hAnsi="宋体" w:cs="仿宋_GB2312" w:hint="eastAsia"/>
          <w:sz w:val="32"/>
          <w:szCs w:val="32"/>
        </w:rPr>
        <w:t>三、</w:t>
      </w:r>
      <w:r w:rsidRPr="00961DED">
        <w:rPr>
          <w:rFonts w:ascii="宋体" w:hAnsi="宋体" w:cs="黑体" w:hint="eastAsia"/>
          <w:sz w:val="32"/>
          <w:szCs w:val="32"/>
        </w:rPr>
        <w:t>机关运行经费安排情况</w:t>
      </w:r>
    </w:p>
    <w:p w:rsidR="00585F5E" w:rsidRDefault="00585F5E" w:rsidP="002750FC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万元，对比去年无增减变动情况。原因是：我园属事业单位，经费支出不纳入机关运行经费支出项目。</w:t>
      </w:r>
    </w:p>
    <w:p w:rsidR="00585F5E" w:rsidRDefault="00585F5E" w:rsidP="00961D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四、事业单位经费安排情况</w:t>
      </w:r>
    </w:p>
    <w:p w:rsidR="00585F5E" w:rsidRDefault="00585F5E" w:rsidP="002750FC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年，本部门一般公共预算拨款为</w:t>
      </w:r>
      <w:r>
        <w:rPr>
          <w:rFonts w:ascii="仿宋_GB2312" w:eastAsia="仿宋_GB2312" w:hAnsi="仿宋_GB2312" w:cs="仿宋_GB2312"/>
          <w:sz w:val="32"/>
          <w:szCs w:val="32"/>
        </w:rPr>
        <w:t>342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万元，只安排工资福利支出</w:t>
      </w:r>
      <w:r>
        <w:rPr>
          <w:rFonts w:ascii="仿宋_GB2312" w:eastAsia="仿宋_GB2312" w:hAnsi="仿宋_GB2312" w:cs="仿宋_GB2312"/>
          <w:sz w:val="32"/>
          <w:szCs w:val="32"/>
        </w:rPr>
        <w:t>298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万元，对个人和家庭的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补助</w:t>
      </w:r>
      <w:r>
        <w:rPr>
          <w:rFonts w:ascii="仿宋_GB2312" w:eastAsia="仿宋_GB2312" w:hAnsi="仿宋_GB2312" w:cs="仿宋_GB2312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万元，一般商品和服务支出没有财政预算拨款。</w:t>
      </w:r>
    </w:p>
    <w:p w:rsidR="00585F5E" w:rsidRDefault="00585F5E" w:rsidP="00961D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五、政府采购情况</w:t>
      </w:r>
    </w:p>
    <w:p w:rsidR="00585F5E" w:rsidRDefault="00585F5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F5E" w:rsidRDefault="00585F5E" w:rsidP="00961DED">
      <w:pPr>
        <w:numPr>
          <w:ilvl w:val="0"/>
          <w:numId w:val="7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585F5E" w:rsidRDefault="00585F5E">
      <w:pPr>
        <w:ind w:firstLine="48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12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31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487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万元，分布构成情况为：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流动资产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，主要实物资产数据情况为：</w:t>
      </w:r>
      <w:r>
        <w:rPr>
          <w:rFonts w:ascii="仿宋_GB2312" w:eastAsia="仿宋_GB2312" w:hAnsi="仿宋_GB2312" w:cs="仿宋_GB2312"/>
          <w:sz w:val="32"/>
          <w:szCs w:val="32"/>
        </w:rPr>
        <w:t>452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万元，资产变动情况为增加：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F5E" w:rsidRDefault="00585F5E" w:rsidP="00213EA5">
      <w:pPr>
        <w:numPr>
          <w:ilvl w:val="0"/>
          <w:numId w:val="7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585F5E" w:rsidRPr="004307F7" w:rsidRDefault="00585F5E" w:rsidP="004307F7">
      <w:pPr>
        <w:ind w:firstLine="640"/>
        <w:rPr>
          <w:rFonts w:ascii="仿宋_GB2312" w:eastAsia="仿宋_GB2312"/>
        </w:rPr>
      </w:pPr>
      <w:r w:rsidRPr="004307F7"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4307F7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本级部门预算本着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“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统筹兼顾、突出重点，有保有压，确保平衡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的基本原则，致力于保障运转、保障民生、保障法定支出，强化预算绩效管理，推进预算信息公开，构建全面规范、公开透明的预算管理制度。我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园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按相关规定和上级财政部门要求，结合我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园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的实际情况对</w:t>
      </w: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7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年度本级预算绩效管理情况说明如下：</w:t>
      </w:r>
    </w:p>
    <w:p w:rsidR="00585F5E" w:rsidRPr="004307F7" w:rsidRDefault="00585F5E" w:rsidP="004307F7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仿宋_GB2312" w:eastAsia="仿宋_GB2312"/>
        </w:rPr>
      </w:pP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7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年预算安排的项目金额</w:t>
      </w: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342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万元，共批复预算绩效项目</w:t>
      </w: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1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个，预算金额</w:t>
      </w:r>
      <w:r>
        <w:rPr>
          <w:rFonts w:ascii="仿宋_GB2312" w:eastAsia="仿宋_GB2312" w:hAnsi="仿宋_GB2312"/>
          <w:color w:val="000000"/>
          <w:kern w:val="0"/>
          <w:sz w:val="32"/>
          <w:szCs w:val="32"/>
          <w:shd w:val="clear" w:color="auto" w:fill="FFFFFF"/>
        </w:rPr>
        <w:t>342</w:t>
      </w:r>
      <w:r w:rsidRPr="004307F7"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万元。</w:t>
      </w: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6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年绩效目标覆盖率为</w:t>
      </w:r>
      <w:r w:rsidRPr="004307F7"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100%</w:t>
      </w:r>
      <w:r w:rsidRPr="004307F7"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585F5E" w:rsidRDefault="00585F5E" w:rsidP="004307F7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5F5E" w:rsidRDefault="00585F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585F5E" w:rsidRDefault="00585F5E">
      <w:pPr>
        <w:spacing w:before="100" w:beforeAutospacing="1" w:after="100" w:afterAutospacing="1"/>
        <w:ind w:firstLine="720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本部门根据自身实际情况对专业性名称做如下解释：</w:t>
      </w:r>
    </w:p>
    <w:p w:rsidR="00585F5E" w:rsidRDefault="00585F5E">
      <w:pPr>
        <w:widowControl/>
        <w:spacing w:before="100" w:beforeAutospacing="1" w:after="100" w:afterAutospacing="1" w:line="408" w:lineRule="atLeast"/>
        <w:ind w:firstLine="640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一）部门预算：指与财政部门直接发生预算缴款、拨款关系的政府机关、社会团体和其他单位，依据国家有关法律、法规规定及其履行职能的需要编制的本部门年度收支计划，涵盖部门各项收支，实行一个部门一本预算。</w:t>
      </w:r>
    </w:p>
    <w:p w:rsidR="00585F5E" w:rsidRDefault="00585F5E">
      <w:pPr>
        <w:widowControl/>
        <w:spacing w:before="100" w:beforeAutospacing="1" w:after="100" w:afterAutospacing="1" w:line="408" w:lineRule="atLeast"/>
        <w:ind w:firstLine="640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（二）财政拨款：指市级财政当年拨付的资金。</w:t>
      </w:r>
    </w:p>
    <w:p w:rsidR="00585F5E" w:rsidRDefault="00585F5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（三）基本支出：指为保障机构正常运转、完成日常工作任务发生的人员支出和公用支出。</w:t>
      </w:r>
    </w:p>
    <w:p w:rsidR="00585F5E" w:rsidRDefault="00585F5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四）工资福利支出：反映单位开支的在职职工和编制外长期聘用人员的各类劳动报酬，以及为上述人员缴纳的各项社会保险费等。包括基本工资、津贴补贴、奖金、社会保障缴费、伙食费、伙食补助费、绩效工资、其他工资福利支出。</w:t>
      </w:r>
    </w:p>
    <w:p w:rsidR="00585F5E" w:rsidRDefault="00585F5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（五）对个人和家庭的补助：反映政府用于对个人和家庭的补助支出。包括离休费、退休费、生活补助、医疗费、住房公积金、购房补贴等。</w:t>
      </w:r>
    </w:p>
    <w:sectPr w:rsidR="00585F5E" w:rsidSect="00432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兰亭超细黑简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7ACBB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A6C963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23A821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F301E2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C866A7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A54476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5E962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6EAB78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44D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38F8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DF4ECF"/>
    <w:multiLevelType w:val="hybridMultilevel"/>
    <w:tmpl w:val="2B20DA60"/>
    <w:lvl w:ilvl="0" w:tplc="CE5AF3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3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5C696B15"/>
    <w:multiLevelType w:val="hybridMultilevel"/>
    <w:tmpl w:val="72165996"/>
    <w:lvl w:ilvl="0" w:tplc="1A021EC2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EE92A5D"/>
    <w:multiLevelType w:val="hybridMultilevel"/>
    <w:tmpl w:val="35403BA2"/>
    <w:lvl w:ilvl="0" w:tplc="45483F2E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7CE955A4"/>
    <w:multiLevelType w:val="hybridMultilevel"/>
    <w:tmpl w:val="6EB81D02"/>
    <w:lvl w:ilvl="0" w:tplc="D0A85E98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2"/>
    <w:lvlOverride w:ilvl="0">
      <w:startOverride w:val="1"/>
    </w:lvlOverride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5AB"/>
    <w:rsid w:val="00006EF8"/>
    <w:rsid w:val="00032E26"/>
    <w:rsid w:val="000333B1"/>
    <w:rsid w:val="00040B1F"/>
    <w:rsid w:val="00071C6B"/>
    <w:rsid w:val="000A6004"/>
    <w:rsid w:val="000D2E67"/>
    <w:rsid w:val="000E31D4"/>
    <w:rsid w:val="00102BF1"/>
    <w:rsid w:val="00135F93"/>
    <w:rsid w:val="00160DEE"/>
    <w:rsid w:val="00174925"/>
    <w:rsid w:val="001852EA"/>
    <w:rsid w:val="001B2899"/>
    <w:rsid w:val="001C0893"/>
    <w:rsid w:val="001E729B"/>
    <w:rsid w:val="00213EA5"/>
    <w:rsid w:val="00260F2F"/>
    <w:rsid w:val="002750FC"/>
    <w:rsid w:val="0028402B"/>
    <w:rsid w:val="00296C2E"/>
    <w:rsid w:val="002E5072"/>
    <w:rsid w:val="00307FA7"/>
    <w:rsid w:val="003132EC"/>
    <w:rsid w:val="003F4C4D"/>
    <w:rsid w:val="004307F7"/>
    <w:rsid w:val="00432B87"/>
    <w:rsid w:val="0046437F"/>
    <w:rsid w:val="00484718"/>
    <w:rsid w:val="0048487A"/>
    <w:rsid w:val="00484D2F"/>
    <w:rsid w:val="004F50B8"/>
    <w:rsid w:val="005270A8"/>
    <w:rsid w:val="00545F1E"/>
    <w:rsid w:val="00551586"/>
    <w:rsid w:val="0056286D"/>
    <w:rsid w:val="00582D52"/>
    <w:rsid w:val="005853F9"/>
    <w:rsid w:val="00585F5E"/>
    <w:rsid w:val="005C581C"/>
    <w:rsid w:val="005F2133"/>
    <w:rsid w:val="006045FA"/>
    <w:rsid w:val="00624491"/>
    <w:rsid w:val="0063226E"/>
    <w:rsid w:val="0064369F"/>
    <w:rsid w:val="006710C8"/>
    <w:rsid w:val="006731FC"/>
    <w:rsid w:val="006C6836"/>
    <w:rsid w:val="007740A8"/>
    <w:rsid w:val="007C3412"/>
    <w:rsid w:val="007F0734"/>
    <w:rsid w:val="007F6446"/>
    <w:rsid w:val="008A675D"/>
    <w:rsid w:val="008C670F"/>
    <w:rsid w:val="009402A0"/>
    <w:rsid w:val="00961DED"/>
    <w:rsid w:val="009C0450"/>
    <w:rsid w:val="009E6E72"/>
    <w:rsid w:val="00A150DD"/>
    <w:rsid w:val="00A261E8"/>
    <w:rsid w:val="00A33ACE"/>
    <w:rsid w:val="00A4167D"/>
    <w:rsid w:val="00AB44A7"/>
    <w:rsid w:val="00AD6497"/>
    <w:rsid w:val="00B10ADE"/>
    <w:rsid w:val="00B131FD"/>
    <w:rsid w:val="00B5007E"/>
    <w:rsid w:val="00B5370F"/>
    <w:rsid w:val="00B62823"/>
    <w:rsid w:val="00B90BCB"/>
    <w:rsid w:val="00B975FD"/>
    <w:rsid w:val="00BA140A"/>
    <w:rsid w:val="00BA2B6E"/>
    <w:rsid w:val="00BA48AF"/>
    <w:rsid w:val="00BA7348"/>
    <w:rsid w:val="00BC3CEB"/>
    <w:rsid w:val="00BF6FD6"/>
    <w:rsid w:val="00C2666D"/>
    <w:rsid w:val="00C60B73"/>
    <w:rsid w:val="00C908FD"/>
    <w:rsid w:val="00C91418"/>
    <w:rsid w:val="00CC2573"/>
    <w:rsid w:val="00CF4D72"/>
    <w:rsid w:val="00D26596"/>
    <w:rsid w:val="00D514F5"/>
    <w:rsid w:val="00D72D3F"/>
    <w:rsid w:val="00D8419F"/>
    <w:rsid w:val="00D87ACF"/>
    <w:rsid w:val="00D91FAF"/>
    <w:rsid w:val="00D953CE"/>
    <w:rsid w:val="00DA5435"/>
    <w:rsid w:val="00DB55CF"/>
    <w:rsid w:val="00DF2280"/>
    <w:rsid w:val="00E37268"/>
    <w:rsid w:val="00E47446"/>
    <w:rsid w:val="00E73DEC"/>
    <w:rsid w:val="00EA1D8C"/>
    <w:rsid w:val="00ED03F9"/>
    <w:rsid w:val="00EF5C9D"/>
    <w:rsid w:val="00EF78A3"/>
    <w:rsid w:val="00F01597"/>
    <w:rsid w:val="00F05E50"/>
    <w:rsid w:val="00F212A7"/>
    <w:rsid w:val="00F64057"/>
    <w:rsid w:val="00F75C80"/>
    <w:rsid w:val="00F93431"/>
    <w:rsid w:val="00FA7344"/>
    <w:rsid w:val="00FF45AB"/>
    <w:rsid w:val="13016A31"/>
    <w:rsid w:val="16BB73DB"/>
    <w:rsid w:val="20EE6A13"/>
    <w:rsid w:val="36E602DD"/>
    <w:rsid w:val="50CB6A87"/>
    <w:rsid w:val="60E37A9B"/>
    <w:rsid w:val="66D06120"/>
    <w:rsid w:val="6D9B07DA"/>
    <w:rsid w:val="74355240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8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17</Pages>
  <Words>321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*</cp:lastModifiedBy>
  <cp:revision>44</cp:revision>
  <cp:lastPrinted>2018-03-29T01:33:00Z</cp:lastPrinted>
  <dcterms:created xsi:type="dcterms:W3CDTF">2014-10-29T12:08:00Z</dcterms:created>
  <dcterms:modified xsi:type="dcterms:W3CDTF">2018-05-10T00:50:00Z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